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C6037" w14:textId="77777777" w:rsidR="004C5982" w:rsidRDefault="00E34250">
      <w:pPr>
        <w:jc w:val="center"/>
      </w:pPr>
      <w:r>
        <w:rPr>
          <w:b/>
          <w:color w:val="5F259F"/>
          <w:sz w:val="36"/>
        </w:rPr>
        <w:t>PhonePe Fintech Performance Analytics</w:t>
      </w:r>
    </w:p>
    <w:p w14:paraId="3243C40C" w14:textId="77777777" w:rsidR="004C5982" w:rsidRDefault="00E34250">
      <w:pPr>
        <w:jc w:val="center"/>
      </w:pPr>
      <w:r>
        <w:rPr>
          <w:i/>
          <w:sz w:val="24"/>
        </w:rPr>
        <w:t>Key Insights and Business Interpretation</w:t>
      </w:r>
    </w:p>
    <w:p w14:paraId="6CC4BE53" w14:textId="77777777" w:rsidR="004C5982" w:rsidRDefault="004C5982">
      <w:pPr>
        <w:pBdr>
          <w:bottom w:val="single" w:sz="6" w:space="1" w:color="5F259F"/>
        </w:pBdr>
        <w:jc w:val="center"/>
      </w:pPr>
    </w:p>
    <w:p w14:paraId="52C6584F" w14:textId="77777777" w:rsidR="004C5982" w:rsidRDefault="004C5982"/>
    <w:p w14:paraId="1E36A6BE" w14:textId="77777777" w:rsidR="004C5982" w:rsidRDefault="00E34250">
      <w:r>
        <w:rPr>
          <w:b/>
          <w:color w:val="5F259F"/>
        </w:rPr>
        <w:t>1. Adoption &amp; Payment Growth Insights</w:t>
      </w:r>
    </w:p>
    <w:p w14:paraId="31A78AE9" w14:textId="77777777" w:rsidR="004C5982" w:rsidRDefault="00E34250">
      <w:pPr>
        <w:jc w:val="both"/>
      </w:pPr>
      <w:r>
        <w:t>The platform recorded 28.22 billion total transactions in the latest quarter, with total transaction value reaching ₹36 trillion. Quarter-over-quarter transaction growth stands at 9.29%, indicating continued expansion rather than stagnation.</w:t>
      </w:r>
    </w:p>
    <w:p w14:paraId="0388D5DA" w14:textId="77777777" w:rsidR="004C5982" w:rsidRDefault="00E34250">
      <w:pPr>
        <w:jc w:val="both"/>
      </w:pPr>
      <w:r>
        <w:t>The long-term trend from 2018 to 2024 demonstrates exponential acceleration rather than linear growth. Transaction value has steadily compounded to ₹36T, reflecting structural scaling of digital payments across India.</w:t>
      </w:r>
    </w:p>
    <w:p w14:paraId="3380D16E" w14:textId="77777777" w:rsidR="004C5982" w:rsidRDefault="00E34250">
      <w:r>
        <w:rPr>
          <w:b/>
          <w:color w:val="5F259F"/>
        </w:rPr>
        <w:t>2. Monetization Structure &amp; Merchant Dynamics</w:t>
      </w:r>
    </w:p>
    <w:p w14:paraId="6FEF3C81" w14:textId="77777777" w:rsidR="004C5982" w:rsidRDefault="00E34250">
      <w:pPr>
        <w:jc w:val="both"/>
      </w:pPr>
      <w:r>
        <w:t>Merchant transactions account for 22.45% of total transaction share, while P2P transactions dominate at 73.99%. Despite P2P dominance, merchant transaction value has reached ₹8.08 trillion, demonstrating monetization depth.</w:t>
      </w:r>
    </w:p>
    <w:p w14:paraId="47F10F02" w14:textId="77777777" w:rsidR="004C5982" w:rsidRDefault="00E34250">
      <w:pPr>
        <w:jc w:val="both"/>
      </w:pPr>
      <w:r>
        <w:t>Merchant transactions recorded 13.30% QoQ growth and 49.11% YoY growth, indicating accelerating commercial usage. This suggests that while P2P remains structurally dominant, merchant-led monetization is strengthening.</w:t>
      </w:r>
    </w:p>
    <w:p w14:paraId="05D99A2B" w14:textId="77777777" w:rsidR="004C5982" w:rsidRDefault="00E34250">
      <w:r>
        <w:rPr>
          <w:b/>
          <w:color w:val="5F259F"/>
        </w:rPr>
        <w:t>3. User Adoption &amp; Engagement Behavior</w:t>
      </w:r>
    </w:p>
    <w:p w14:paraId="07FC2051" w14:textId="77777777" w:rsidR="004C5982" w:rsidRDefault="00E34250">
      <w:pPr>
        <w:jc w:val="both"/>
      </w:pPr>
      <w:r>
        <w:t>Registered users reached 586.76 million in the latest quarter, with 35.77% quarter-over-quarter growth. The engagement ratio stands at 152.76, reflecting strong usage intensity rather than passive registration.</w:t>
      </w:r>
    </w:p>
    <w:p w14:paraId="6E707BD8" w14:textId="77777777" w:rsidR="004C5982" w:rsidRDefault="00E34250">
      <w:pPr>
        <w:jc w:val="both"/>
      </w:pPr>
      <w:r>
        <w:t>Regional engagement varies: Central region leads with an engagement ratio of 77, followed by West (74) and North-East (71). South records 65, indicating slightly lower average engagement relative to leading regions.</w:t>
      </w:r>
    </w:p>
    <w:p w14:paraId="6C4C050D" w14:textId="77777777" w:rsidR="004C5982" w:rsidRDefault="00E34250">
      <w:r>
        <w:rPr>
          <w:b/>
          <w:color w:val="5F259F"/>
        </w:rPr>
        <w:t>4. Market Leadership &amp; Structural Concentration</w:t>
      </w:r>
    </w:p>
    <w:p w14:paraId="3B6AC008" w14:textId="77777777" w:rsidR="004C5982" w:rsidRDefault="00E34250">
      <w:pPr>
        <w:jc w:val="both"/>
      </w:pPr>
      <w:r>
        <w:t>The Top 5 regions contribute 52.30% of total transaction value, confirming moderate structural concentration. Average ticket size across regions is ₹1.47K.</w:t>
      </w:r>
    </w:p>
    <w:p w14:paraId="0955B393" w14:textId="77777777" w:rsidR="004C5982" w:rsidRDefault="00E34250">
      <w:pPr>
        <w:jc w:val="both"/>
      </w:pPr>
      <w:r>
        <w:t>South leads with 9.64 billion transactions and ₹12.8T in value, contributing 35.68% of total value share. West follows with ₹8.1T and 22.50% share. North contributes ₹6.0T (16.79%), East ₹5.9T (16.44%), Central ₹2.6T (7.17%), and North-East ₹0.5T (1.42%).</w:t>
      </w:r>
    </w:p>
    <w:p w14:paraId="37D6B883" w14:textId="77777777" w:rsidR="004C5982" w:rsidRDefault="00E34250">
      <w:pPr>
        <w:jc w:val="both"/>
      </w:pPr>
      <w:r>
        <w:t>At the state level, Karnataka and Maharashtra each generate ₹4.2T in transaction value, followed by Telangana (₹3.9T), Andhra Pradesh (₹3.5T), Uttar Pradesh (₹3.2T), and Rajasthan (₹2.8T).</w:t>
      </w:r>
    </w:p>
    <w:p w14:paraId="2B7A6635" w14:textId="77777777" w:rsidR="000526C0" w:rsidRDefault="000526C0">
      <w:pPr>
        <w:rPr>
          <w:b/>
          <w:color w:val="5F259F"/>
        </w:rPr>
      </w:pPr>
    </w:p>
    <w:p w14:paraId="1F61E35D" w14:textId="77777777" w:rsidR="000526C0" w:rsidRDefault="000526C0">
      <w:pPr>
        <w:rPr>
          <w:b/>
          <w:color w:val="5F259F"/>
        </w:rPr>
      </w:pPr>
    </w:p>
    <w:p w14:paraId="2DBD1A33" w14:textId="77777777" w:rsidR="000526C0" w:rsidRDefault="000526C0">
      <w:pPr>
        <w:rPr>
          <w:b/>
          <w:color w:val="5F259F"/>
        </w:rPr>
      </w:pPr>
    </w:p>
    <w:p w14:paraId="640254E3" w14:textId="77777777" w:rsidR="000526C0" w:rsidRDefault="000526C0">
      <w:pPr>
        <w:rPr>
          <w:b/>
          <w:color w:val="5F259F"/>
        </w:rPr>
      </w:pPr>
    </w:p>
    <w:p w14:paraId="5F3ABED6" w14:textId="77777777" w:rsidR="000526C0" w:rsidRDefault="000526C0">
      <w:pPr>
        <w:rPr>
          <w:b/>
          <w:color w:val="5F259F"/>
        </w:rPr>
      </w:pPr>
    </w:p>
    <w:p w14:paraId="73AAADFE" w14:textId="77777777" w:rsidR="000526C0" w:rsidRDefault="000526C0">
      <w:pPr>
        <w:rPr>
          <w:b/>
          <w:color w:val="5F259F"/>
        </w:rPr>
      </w:pPr>
    </w:p>
    <w:p w14:paraId="43715693" w14:textId="47AA8485" w:rsidR="004C5982" w:rsidRDefault="00E34250">
      <w:r>
        <w:rPr>
          <w:b/>
          <w:color w:val="5F259F"/>
        </w:rPr>
        <w:t>5. Overall Business Interpretation</w:t>
      </w:r>
    </w:p>
    <w:p w14:paraId="6E132F33" w14:textId="77777777" w:rsidR="004C5982" w:rsidRDefault="00E34250">
      <w:pPr>
        <w:jc w:val="both"/>
      </w:pPr>
      <w:r>
        <w:t>The ecosystem reflects strong adoption momentum, improving merchant monetization, high engagement intensity, and identifiable regional dominance patterns. Growth is compounding, monetization is deepening, and structural leadership is concentrated but not monopolistic.</w:t>
      </w:r>
    </w:p>
    <w:sectPr w:rsidR="004C598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5784482">
    <w:abstractNumId w:val="8"/>
  </w:num>
  <w:num w:numId="2" w16cid:durableId="870192187">
    <w:abstractNumId w:val="6"/>
  </w:num>
  <w:num w:numId="3" w16cid:durableId="14507257">
    <w:abstractNumId w:val="5"/>
  </w:num>
  <w:num w:numId="4" w16cid:durableId="521743358">
    <w:abstractNumId w:val="4"/>
  </w:num>
  <w:num w:numId="5" w16cid:durableId="1114010327">
    <w:abstractNumId w:val="7"/>
  </w:num>
  <w:num w:numId="6" w16cid:durableId="1368482582">
    <w:abstractNumId w:val="3"/>
  </w:num>
  <w:num w:numId="7" w16cid:durableId="1096824912">
    <w:abstractNumId w:val="2"/>
  </w:num>
  <w:num w:numId="8" w16cid:durableId="891119510">
    <w:abstractNumId w:val="1"/>
  </w:num>
  <w:num w:numId="9" w16cid:durableId="1855413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6C0"/>
    <w:rsid w:val="0006063C"/>
    <w:rsid w:val="0015074B"/>
    <w:rsid w:val="0029639D"/>
    <w:rsid w:val="00326F90"/>
    <w:rsid w:val="004C5982"/>
    <w:rsid w:val="0063488B"/>
    <w:rsid w:val="00AA1D8D"/>
    <w:rsid w:val="00B47730"/>
    <w:rsid w:val="00CB0664"/>
    <w:rsid w:val="00E34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25A57A8-247D-4C7C-9DE3-679D9A3D2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Shinde</cp:lastModifiedBy>
  <cp:revision>2</cp:revision>
  <dcterms:created xsi:type="dcterms:W3CDTF">2013-12-23T23:15:00Z</dcterms:created>
  <dcterms:modified xsi:type="dcterms:W3CDTF">2026-02-15T09:45:00Z</dcterms:modified>
  <cp:category/>
</cp:coreProperties>
</file>