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E297" w14:textId="77777777" w:rsidR="008C2729" w:rsidRDefault="008C2729">
      <w:pPr>
        <w:pStyle w:val="Heading1"/>
        <w:rPr>
          <w:sz w:val="20"/>
          <w:szCs w:val="20"/>
        </w:rPr>
      </w:pPr>
      <w:r>
        <w:rPr>
          <w:noProof/>
          <w:sz w:val="20"/>
          <w:szCs w:val="20"/>
        </w:rPr>
        <w:drawing>
          <wp:inline distT="0" distB="0" distL="0" distR="0" wp14:anchorId="6673E6E7" wp14:editId="5B97220E">
            <wp:extent cx="3065469" cy="800100"/>
            <wp:effectExtent l="0" t="0" r="1905" b="0"/>
            <wp:docPr id="571321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1654" name="Picture 571321654"/>
                    <pic:cNvPicPr/>
                  </pic:nvPicPr>
                  <pic:blipFill>
                    <a:blip r:embed="rId6"/>
                    <a:stretch>
                      <a:fillRect/>
                    </a:stretch>
                  </pic:blipFill>
                  <pic:spPr>
                    <a:xfrm>
                      <a:off x="0" y="0"/>
                      <a:ext cx="3104762" cy="810356"/>
                    </a:xfrm>
                    <a:prstGeom prst="rect">
                      <a:avLst/>
                    </a:prstGeom>
                  </pic:spPr>
                </pic:pic>
              </a:graphicData>
            </a:graphic>
          </wp:inline>
        </w:drawing>
      </w:r>
    </w:p>
    <w:p w14:paraId="1A1A08CE" w14:textId="32D19346" w:rsidR="00FA6BD8" w:rsidRPr="008C2729" w:rsidRDefault="00000000">
      <w:pPr>
        <w:pStyle w:val="Heading1"/>
        <w:rPr>
          <w:sz w:val="20"/>
          <w:szCs w:val="20"/>
        </w:rPr>
      </w:pPr>
      <w:r>
        <w:t>Real Estate Analysis</w:t>
      </w:r>
    </w:p>
    <w:p w14:paraId="73D08DC1" w14:textId="0B1F3C63" w:rsidR="00FA6BD8" w:rsidRDefault="00000000">
      <w:r>
        <w:t>This project presents an end-to-end analytical review of a real estate portfolio using Power BI. The analysis focuses on pricing efficiency, portfolio distribution, agent performance, office efficiency, ownership concentration, and neighborhood-level drivers. All insights are derived from listed price and estimated market value. Actual sold price data was not available.</w:t>
      </w:r>
    </w:p>
    <w:p w14:paraId="22DB0F2D" w14:textId="77777777" w:rsidR="00FA6BD8" w:rsidRDefault="00000000">
      <w:pPr>
        <w:pStyle w:val="Heading2"/>
      </w:pPr>
      <w:r>
        <w:t>Dataset Overview</w:t>
      </w:r>
    </w:p>
    <w:p w14:paraId="48E1FC5A" w14:textId="77777777" w:rsidR="00FA6BD8" w:rsidRDefault="00000000">
      <w:r>
        <w:t>- Cities Covered: Austin, Dallas, Houston</w:t>
      </w:r>
      <w:r>
        <w:br/>
        <w:t>- Total Properties: ~10,000</w:t>
      </w:r>
      <w:r>
        <w:br/>
        <w:t>- Total Owners: ~500</w:t>
      </w:r>
      <w:r>
        <w:br/>
        <w:t>- Total Agents: ~300</w:t>
      </w:r>
      <w:r>
        <w:br/>
        <w:t>- Total Offices: ~50</w:t>
      </w:r>
      <w:r>
        <w:br/>
        <w:t>- Listing Types: Sale, Rent, Lease</w:t>
      </w:r>
      <w:r>
        <w:br/>
        <w:t>- Key Metrics: Listed Price, Estimated Market Value, Transaction Value</w:t>
      </w:r>
    </w:p>
    <w:p w14:paraId="209ADBB8" w14:textId="77777777" w:rsidR="00FA6BD8" w:rsidRDefault="00000000">
      <w:pPr>
        <w:pStyle w:val="Heading2"/>
      </w:pPr>
      <w:r>
        <w:t>1. Property Overview &amp; Pricing Efficiency</w:t>
      </w:r>
    </w:p>
    <w:p w14:paraId="6FEBDF35" w14:textId="77777777" w:rsidR="00FA6BD8" w:rsidRDefault="00000000">
      <w:r>
        <w:t>At a portfolio level, the dataset shows a well-balanced mix of Sale (~50%), Rent (~25%), and Lease (~25%) listings. Average listed prices are stable across cities (~480K–500K), but pricing efficiency differs.</w:t>
      </w:r>
      <w:r>
        <w:br/>
      </w:r>
      <w:r>
        <w:br/>
        <w:t>Houston shows market values consistently higher than listed prices, indicating strong demand. Austin remains balanced, while Dallas shows signs of overpricing where listed prices exceed market value.</w:t>
      </w:r>
    </w:p>
    <w:p w14:paraId="46DEEB64" w14:textId="77777777" w:rsidR="00FA6BD8" w:rsidRDefault="00000000">
      <w:pPr>
        <w:pStyle w:val="Heading2"/>
      </w:pPr>
      <w:r>
        <w:t>2. Property Features, Condition &amp; Location Impact</w:t>
      </w:r>
    </w:p>
    <w:p w14:paraId="70F92DF9" w14:textId="77777777" w:rsidR="00FA6BD8" w:rsidRDefault="00000000">
      <w:r>
        <w:t>Property condition, furnishing, heating, and cooling show minimal impact on listed prices (&lt;5% variation). This confirms that these attributes act as hygiene factors rather than primary pricing drivers.</w:t>
      </w:r>
      <w:r>
        <w:br/>
      </w:r>
      <w:r>
        <w:br/>
        <w:t>Spatial analysis highlights strong clustering of high-value properties around city centers. Location remains the dominant driver of price, while features and condition play a secondary role.</w:t>
      </w:r>
    </w:p>
    <w:p w14:paraId="226590B6" w14:textId="77777777" w:rsidR="00FA6BD8" w:rsidRDefault="00000000">
      <w:pPr>
        <w:pStyle w:val="Heading2"/>
      </w:pPr>
      <w:r>
        <w:t>3. Sales, Rent &amp; Lease – Combined Listing Type Analysis</w:t>
      </w:r>
    </w:p>
    <w:p w14:paraId="2D6D5548" w14:textId="77777777" w:rsidR="00FA6BD8" w:rsidRDefault="00000000">
      <w:r>
        <w:t>Sales listings contribute nearly 50% of total portfolio value and generate roughly 90–120% more value than Rent or Lease individually. However, average price per property varies by less than 5% across listing types.</w:t>
      </w:r>
      <w:r>
        <w:br/>
      </w:r>
      <w:r>
        <w:lastRenderedPageBreak/>
        <w:br/>
        <w:t>This confirms that value differences are driven by transaction volume rather than price inflation.</w:t>
      </w:r>
    </w:p>
    <w:p w14:paraId="566D89B7" w14:textId="77777777" w:rsidR="00FA6BD8" w:rsidRDefault="00000000">
      <w:pPr>
        <w:pStyle w:val="Heading2"/>
      </w:pPr>
      <w:r>
        <w:t>4. Agent Performance (Combined Analysis)</w:t>
      </w:r>
    </w:p>
    <w:p w14:paraId="43491429" w14:textId="77777777" w:rsidR="00FA6BD8" w:rsidRDefault="00000000">
      <w:r>
        <w:t>Agent performance is highly concentrated. A small group of top agents generates up to 4–5× more value than lower-tier agents. Average listing prices remain consistent across agents, indicating disciplined pricing.</w:t>
      </w:r>
      <w:r>
        <w:br/>
      </w:r>
      <w:r>
        <w:br/>
        <w:t>Mid-level agents (3–6 years experience) emerge as the most efficient group. They handle fewer properties than senior agents but achieve the highest average listing value per property. Senior and veteran agents generate higher total value primarily through scale, not higher deal size.</w:t>
      </w:r>
    </w:p>
    <w:p w14:paraId="65974B33" w14:textId="77777777" w:rsidR="00FA6BD8" w:rsidRDefault="00000000">
      <w:pPr>
        <w:pStyle w:val="Heading2"/>
      </w:pPr>
      <w:r>
        <w:t>5. Office Performance (Combined Analysis)</w:t>
      </w:r>
    </w:p>
    <w:p w14:paraId="782CC95A" w14:textId="77777777" w:rsidR="00FA6BD8" w:rsidRDefault="00000000">
      <w:r>
        <w:t>Office-level analysis reveals strong value concentration. The top 5 offices contribute ~35–40% of total value.</w:t>
      </w:r>
      <w:r>
        <w:br/>
      </w:r>
      <w:r>
        <w:br/>
        <w:t>At similar portfolio sizes, offices show up to 20% variation in transaction value, driven by listing mix and pricing discipline. High-efficiency offices generate ₹80K–₹120K more value per property compared to peers.</w:t>
      </w:r>
    </w:p>
    <w:p w14:paraId="69357C20" w14:textId="77777777" w:rsidR="00FA6BD8" w:rsidRDefault="00000000">
      <w:pPr>
        <w:pStyle w:val="Heading2"/>
      </w:pPr>
      <w:r>
        <w:t>6. Ownership &amp; Portfolio Distribution</w:t>
      </w:r>
    </w:p>
    <w:p w14:paraId="43E7D056" w14:textId="77777777" w:rsidR="00FA6BD8" w:rsidRDefault="00000000">
      <w:r>
        <w:t>Ownership follows a clear power-law distribution. The top 5 owners control nearly 50% of all properties and listing value. Portfolio value scales linearly with property count, indicating long-term asset holding rather than short-term buy–sell behavior.</w:t>
      </w:r>
      <w:r>
        <w:br/>
      </w:r>
      <w:r>
        <w:br/>
        <w:t>Sales portfolios are highly consolidated, while Rent and Lease portfolios remain fragmented across owners.</w:t>
      </w:r>
    </w:p>
    <w:p w14:paraId="2F303E9F" w14:textId="77777777" w:rsidR="00FA6BD8" w:rsidRDefault="00000000">
      <w:pPr>
        <w:pStyle w:val="Heading2"/>
      </w:pPr>
      <w:r>
        <w:t>7. Neighborhood Analysis (Combined)</w:t>
      </w:r>
    </w:p>
    <w:p w14:paraId="68DF2942" w14:textId="77777777" w:rsidR="00FA6BD8" w:rsidRDefault="00000000">
      <w:r>
        <w:t>Neighborhood analysis shows that crime rate and income alone do not strongly dictate property prices. Price variation across crime bands is less than 5%.</w:t>
      </w:r>
      <w:r>
        <w:br/>
      </w:r>
      <w:r>
        <w:br/>
        <w:t>Even when neighborhood quality scores vary 4–5×, average listed prices remain tightly clustered (~0.55M–0.59M). This indicates demand-side price floors and market-driven valuation rather than pure quality-based pricing.</w:t>
      </w:r>
    </w:p>
    <w:p w14:paraId="061DADE1" w14:textId="32BDDAB6" w:rsidR="00FA6BD8" w:rsidRDefault="00000000">
      <w:r>
        <w:br/>
      </w:r>
      <w:r>
        <w:br/>
      </w:r>
    </w:p>
    <w:sectPr w:rsidR="00FA6BD8" w:rsidSect="008C2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452229">
    <w:abstractNumId w:val="8"/>
  </w:num>
  <w:num w:numId="2" w16cid:durableId="950741148">
    <w:abstractNumId w:val="6"/>
  </w:num>
  <w:num w:numId="3" w16cid:durableId="1119375848">
    <w:abstractNumId w:val="5"/>
  </w:num>
  <w:num w:numId="4" w16cid:durableId="1368944240">
    <w:abstractNumId w:val="4"/>
  </w:num>
  <w:num w:numId="5" w16cid:durableId="2123256827">
    <w:abstractNumId w:val="7"/>
  </w:num>
  <w:num w:numId="6" w16cid:durableId="101993286">
    <w:abstractNumId w:val="3"/>
  </w:num>
  <w:num w:numId="7" w16cid:durableId="1798332512">
    <w:abstractNumId w:val="2"/>
  </w:num>
  <w:num w:numId="8" w16cid:durableId="1490899839">
    <w:abstractNumId w:val="1"/>
  </w:num>
  <w:num w:numId="9" w16cid:durableId="97644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7DE"/>
    <w:rsid w:val="0029639D"/>
    <w:rsid w:val="00326F90"/>
    <w:rsid w:val="008C2729"/>
    <w:rsid w:val="00AA1D8D"/>
    <w:rsid w:val="00B47730"/>
    <w:rsid w:val="00CB0664"/>
    <w:rsid w:val="00FA6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E9CF8"/>
  <w14:defaultImageDpi w14:val="300"/>
  <w15:docId w15:val="{11108785-D7BB-4EEE-BED8-5705CE5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Shinde</cp:lastModifiedBy>
  <cp:revision>2</cp:revision>
  <dcterms:created xsi:type="dcterms:W3CDTF">2013-12-23T23:15:00Z</dcterms:created>
  <dcterms:modified xsi:type="dcterms:W3CDTF">2026-01-14T08:08:00Z</dcterms:modified>
  <cp:category/>
</cp:coreProperties>
</file>