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color w:val="8B0000"/>
          <w:sz w:val="40"/>
        </w:rPr>
        <w:t>Global Terrorism Trends &amp; Operational Dynamics (1970–2020)</w:t>
      </w:r>
    </w:p>
    <w:p>
      <w:pPr>
        <w:jc w:val="center"/>
      </w:pPr>
      <w:r>
        <w:rPr>
          <w:rFonts w:ascii="Calibri" w:hAnsi="Calibri"/>
          <w:i/>
          <w:sz w:val="24"/>
        </w:rPr>
        <w:t>Dataset Description</w:t>
      </w:r>
    </w:p>
    <w:p/>
    <w:p>
      <w:pPr>
        <w:pStyle w:val="Heading1"/>
      </w:pPr>
      <w:r>
        <w:rPr>
          <w:rFonts w:ascii="Calibri" w:hAnsi="Calibri"/>
          <w:color w:val="8B0000"/>
        </w:rPr>
        <w:t>1. Dataset Source</w:t>
      </w:r>
    </w:p>
    <w:p>
      <w:r>
        <w:rPr>
          <w:rFonts w:ascii="Calibri" w:hAnsi="Calibri"/>
          <w:sz w:val="22"/>
        </w:rPr>
        <w:t>The dataset used in this project is derived from the Global Terrorism Database (GTD), one of the most comprehensive open-source databases on terrorist events worldwide. The GTD is compiled through systematic review of media reports, academic sources, and official records, and is widely used in academic and policy research.</w:t>
      </w:r>
    </w:p>
    <w:p>
      <w:pPr>
        <w:pStyle w:val="Heading1"/>
      </w:pPr>
      <w:r>
        <w:rPr>
          <w:rFonts w:ascii="Calibri" w:hAnsi="Calibri"/>
          <w:color w:val="8B0000"/>
        </w:rPr>
        <w:t>2. Temporal Coverage</w:t>
      </w:r>
    </w:p>
    <w:p>
      <w:r>
        <w:rPr>
          <w:rFonts w:ascii="Calibri" w:hAnsi="Calibri"/>
          <w:sz w:val="22"/>
        </w:rPr>
        <w:t>The dataset covers terrorist incidents recorded between 1970 and 2020. Early years may exhibit lower incident counts due to limited reporting coverage, while later years benefit from improved global media reach and data collection practices.</w:t>
      </w:r>
    </w:p>
    <w:p>
      <w:pPr>
        <w:pStyle w:val="Heading1"/>
      </w:pPr>
      <w:r>
        <w:rPr>
          <w:rFonts w:ascii="Calibri" w:hAnsi="Calibri"/>
          <w:color w:val="8B0000"/>
        </w:rPr>
        <w:t>3. Unit of Analysis (Grain)</w:t>
      </w:r>
    </w:p>
    <w:p>
      <w:r>
        <w:rPr>
          <w:rFonts w:ascii="Calibri" w:hAnsi="Calibri"/>
          <w:sz w:val="22"/>
        </w:rPr>
        <w:t>Each row in the dataset represents a single recorded terrorist incident. This incident-level grain enables accurate aggregation across time, geography, and incident characteristics without duplication or inflation of counts.</w:t>
      </w:r>
    </w:p>
    <w:p>
      <w:pPr>
        <w:pStyle w:val="Heading1"/>
      </w:pPr>
      <w:r>
        <w:rPr>
          <w:rFonts w:ascii="Calibri" w:hAnsi="Calibri"/>
          <w:color w:val="8B0000"/>
        </w:rPr>
        <w:t>4. Key Data Attributes</w:t>
      </w:r>
    </w:p>
    <w:p>
      <w:r>
        <w:rPr>
          <w:rFonts w:ascii="Calibri" w:hAnsi="Calibri"/>
          <w:sz w:val="22"/>
        </w:rPr>
        <w:t>Core attributes include temporal fields (year, month, day), geographic identifiers (country and region), incident classification flags (success, multiple incidents, extended duration), and impact indicators such as fatalities and injuries. Categorical dimensions describe attack types, weapon types, and target types at an aggregated level.</w:t>
      </w:r>
    </w:p>
    <w:p>
      <w:pPr>
        <w:pStyle w:val="Heading1"/>
      </w:pPr>
      <w:r>
        <w:rPr>
          <w:rFonts w:ascii="Calibri" w:hAnsi="Calibri"/>
          <w:color w:val="8B0000"/>
        </w:rPr>
        <w:t>5. Data Preparation &amp; Cleaning</w:t>
      </w:r>
    </w:p>
    <w:p>
      <w:r>
        <w:rPr>
          <w:rFonts w:ascii="Calibri" w:hAnsi="Calibri"/>
          <w:sz w:val="22"/>
        </w:rPr>
        <w:t>Raw GTD records were processed using Python to standardize field names, handle missing values, separate fact and dimension tables, and construct bridge tables for many-to-many relationships. This preparation ensures analytical consistency and supports efficient visualization in Tableau.</w:t>
      </w:r>
    </w:p>
    <w:p>
      <w:pPr>
        <w:pStyle w:val="Heading1"/>
      </w:pPr>
      <w:r>
        <w:rPr>
          <w:rFonts w:ascii="Calibri" w:hAnsi="Calibri"/>
          <w:color w:val="8B0000"/>
        </w:rPr>
        <w:t>6. Known Data Limitations</w:t>
      </w:r>
    </w:p>
    <w:p>
      <w:r>
        <w:rPr>
          <w:rFonts w:ascii="Calibri" w:hAnsi="Calibri"/>
          <w:sz w:val="22"/>
        </w:rPr>
        <w:t>The GTD dataset reflects reporting availability rather than absolute ground truth. Some incidents lack complete attribution, casualty figures, or contextual detail. These limitations are addressed through aggregation, cautious interpretation, and explicit documentation in subsequent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