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6A4E" w14:textId="77777777" w:rsidR="000449C4" w:rsidRDefault="000815DF">
      <w:pPr>
        <w:pStyle w:val="Title"/>
        <w:jc w:val="center"/>
      </w:pPr>
      <w:r>
        <w:rPr>
          <w:rFonts w:ascii="Calibri" w:hAnsi="Calibri"/>
          <w:b/>
          <w:color w:val="8B0000"/>
          <w:sz w:val="40"/>
        </w:rPr>
        <w:t>Global Terrorism Trends &amp; Operational Dynamics (1970–2020)</w:t>
      </w:r>
    </w:p>
    <w:p w14:paraId="398FF3F9" w14:textId="77777777" w:rsidR="000449C4" w:rsidRDefault="000815DF">
      <w:pPr>
        <w:jc w:val="center"/>
      </w:pPr>
      <w:r>
        <w:rPr>
          <w:rFonts w:ascii="Calibri" w:hAnsi="Calibri"/>
          <w:i/>
          <w:sz w:val="24"/>
        </w:rPr>
        <w:t>Data Model Design</w:t>
      </w:r>
    </w:p>
    <w:p w14:paraId="628F75CA" w14:textId="77777777" w:rsidR="000449C4" w:rsidRDefault="000449C4"/>
    <w:p w14:paraId="34A6BA86" w14:textId="77777777" w:rsidR="000449C4" w:rsidRDefault="000815DF">
      <w:pPr>
        <w:pStyle w:val="Heading1"/>
      </w:pPr>
      <w:r>
        <w:rPr>
          <w:rFonts w:ascii="Calibri" w:hAnsi="Calibri"/>
          <w:color w:val="8B0000"/>
        </w:rPr>
        <w:t>1. Purpose of the Data Model</w:t>
      </w:r>
    </w:p>
    <w:p w14:paraId="7B4E6EFB" w14:textId="77777777" w:rsidR="000449C4" w:rsidRDefault="000815DF">
      <w:r>
        <w:rPr>
          <w:rFonts w:ascii="Calibri" w:hAnsi="Calibri"/>
        </w:rPr>
        <w:t>The data model for this project is designed to support accurate aggregation, flexible slicing, and efficient visualization of terrorism-related data. Given the analytical and ethical constraints of the project, the model prioritizes clarity, reproducibility, and prevention of double-counting over complexity or predictive capability.</w:t>
      </w:r>
    </w:p>
    <w:p w14:paraId="0B049E41" w14:textId="77777777" w:rsidR="000449C4" w:rsidRDefault="000815DF">
      <w:pPr>
        <w:pStyle w:val="Heading1"/>
      </w:pPr>
      <w:r>
        <w:rPr>
          <w:rFonts w:ascii="Calibri" w:hAnsi="Calibri"/>
          <w:color w:val="8B0000"/>
        </w:rPr>
        <w:t>2. Modeling Approach</w:t>
      </w:r>
    </w:p>
    <w:p w14:paraId="4B37DBE2" w14:textId="77777777" w:rsidR="000449C4" w:rsidRDefault="000815DF">
      <w:r>
        <w:rPr>
          <w:rFonts w:ascii="Calibri" w:hAnsi="Calibri"/>
        </w:rPr>
        <w:t>A star-schema–like analytical structure was adopted. Core incident data is stored in fact tables, while descriptive attributes are separated into dimension tables. Bridge tables are used to resolve many-to-many relationships between incidents and categorical attributes such as attack type, weapon type, and target type.</w:t>
      </w:r>
    </w:p>
    <w:p w14:paraId="38FB56C0" w14:textId="77777777" w:rsidR="000449C4" w:rsidRDefault="000815DF">
      <w:pPr>
        <w:pStyle w:val="Heading1"/>
      </w:pPr>
      <w:r>
        <w:rPr>
          <w:rFonts w:ascii="Calibri" w:hAnsi="Calibri"/>
          <w:color w:val="8B0000"/>
        </w:rPr>
        <w:t>3. Fact Tables</w:t>
      </w:r>
    </w:p>
    <w:p w14:paraId="1D3BE1F0" w14:textId="77777777" w:rsidR="000449C4" w:rsidRDefault="000815DF">
      <w:r>
        <w:rPr>
          <w:rFonts w:ascii="Calibri" w:hAnsi="Calibri"/>
        </w:rPr>
        <w:t>The central fact table captures one record per terrorist incident, identified by a unique event identifier. Additional fact tables store impact metrics (fatalities, injuries) and classification or context flags. Separating these facts reduces sparsity, improves analytical clarity, and allows focused analysis of incident frequency, impact, and attribution certainty.</w:t>
      </w:r>
    </w:p>
    <w:p w14:paraId="1D577407" w14:textId="77777777" w:rsidR="000449C4" w:rsidRDefault="000815DF">
      <w:pPr>
        <w:pStyle w:val="Heading1"/>
      </w:pPr>
      <w:r>
        <w:rPr>
          <w:rFonts w:ascii="Calibri" w:hAnsi="Calibri"/>
          <w:color w:val="8B0000"/>
        </w:rPr>
        <w:t>4. Dimension Tables</w:t>
      </w:r>
    </w:p>
    <w:p w14:paraId="3F0B0117" w14:textId="77777777" w:rsidR="000449C4" w:rsidRDefault="000815DF">
      <w:r>
        <w:rPr>
          <w:rFonts w:ascii="Calibri" w:hAnsi="Calibri"/>
        </w:rPr>
        <w:t>Dimension tables store descriptive attributes such as geographic location, attack type, weapon category, and target type. These tables enable intuitive filtering and grouping in Tableau without inflating incident counts. Geographic dimensions additionally support spatial analysis and mapping.</w:t>
      </w:r>
    </w:p>
    <w:p w14:paraId="2435B350" w14:textId="77777777" w:rsidR="000449C4" w:rsidRDefault="000815DF">
      <w:pPr>
        <w:pStyle w:val="Heading1"/>
      </w:pPr>
      <w:r>
        <w:rPr>
          <w:rFonts w:ascii="Calibri" w:hAnsi="Calibri"/>
          <w:color w:val="8B0000"/>
        </w:rPr>
        <w:t>5. Bridge Tables and Many-to-Many Relationships</w:t>
      </w:r>
    </w:p>
    <w:p w14:paraId="3B2CC361" w14:textId="77777777" w:rsidR="000449C4" w:rsidRDefault="000815DF">
      <w:r>
        <w:rPr>
          <w:rFonts w:ascii="Calibri" w:hAnsi="Calibri"/>
        </w:rPr>
        <w:t>Certain incidents involve multiple attack methods, weapons, or targets. Bridge tables link incident identifiers to their corresponding categorical dimensions, ensuring that each incident is counted once while preserving analytical detail. This approach prevents duplication and supports accurate aggregation.</w:t>
      </w:r>
    </w:p>
    <w:p w14:paraId="3F50265F" w14:textId="77777777" w:rsidR="000449C4" w:rsidRDefault="000815DF">
      <w:pPr>
        <w:pStyle w:val="Heading1"/>
      </w:pPr>
      <w:r>
        <w:rPr>
          <w:rFonts w:ascii="Calibri" w:hAnsi="Calibri"/>
          <w:color w:val="8B0000"/>
        </w:rPr>
        <w:lastRenderedPageBreak/>
        <w:t>6. Tableau Optimization Considerations</w:t>
      </w:r>
    </w:p>
    <w:p w14:paraId="00DCE4F4" w14:textId="77777777" w:rsidR="000449C4" w:rsidRDefault="000815DF">
      <w:r>
        <w:rPr>
          <w:rFonts w:ascii="Calibri" w:hAnsi="Calibri"/>
        </w:rPr>
        <w:t>The model is optimized for Tableau Public by minimizing join complexity, using surrogate keys where appropriate, and pre-aggregating data when necessary. This structure improves dashboard performance and maintains consistent results across filters and views.</w:t>
      </w:r>
    </w:p>
    <w:p w14:paraId="35482155" w14:textId="77777777" w:rsidR="000449C4" w:rsidRDefault="000815DF">
      <w:pPr>
        <w:pStyle w:val="Heading1"/>
      </w:pPr>
      <w:r>
        <w:rPr>
          <w:rFonts w:ascii="Calibri" w:hAnsi="Calibri"/>
          <w:color w:val="8B0000"/>
        </w:rPr>
        <w:t>7. Ethical and Analytical Implications</w:t>
      </w:r>
    </w:p>
    <w:p w14:paraId="453EE501" w14:textId="5B981F5D" w:rsidR="0073138A" w:rsidRDefault="000815DF">
      <w:pPr>
        <w:rPr>
          <w:rFonts w:ascii="Calibri" w:hAnsi="Calibri"/>
        </w:rPr>
      </w:pPr>
      <w:r>
        <w:rPr>
          <w:rFonts w:ascii="Calibri" w:hAnsi="Calibri"/>
        </w:rPr>
        <w:t>The data model intentionally excludes perpetrator-level dimensions and incident narratives. By focusing on aggregated patterns and structural characteristics, the model supports responsible analysis and reduces the risk of sensationalism or misinterpretation.</w:t>
      </w:r>
    </w:p>
    <w:p w14:paraId="49CAC32B" w14:textId="6F7E621C" w:rsidR="0073138A" w:rsidRDefault="0073138A" w:rsidP="0073138A">
      <w:pPr>
        <w:pStyle w:val="Heading1"/>
        <w:rPr>
          <w:rFonts w:ascii="Calibri" w:hAnsi="Calibri"/>
          <w:color w:val="8B0000"/>
        </w:rPr>
      </w:pPr>
      <w:r>
        <w:rPr>
          <w:rFonts w:ascii="Calibri" w:hAnsi="Calibri"/>
          <w:color w:val="8B0000"/>
        </w:rPr>
        <w:t xml:space="preserve">8. </w:t>
      </w:r>
      <w:r w:rsidR="004A2ADC">
        <w:rPr>
          <w:rFonts w:ascii="Calibri" w:hAnsi="Calibri"/>
          <w:color w:val="8B0000"/>
        </w:rPr>
        <w:t>Tableau</w:t>
      </w:r>
      <w:r w:rsidR="009E6C93">
        <w:rPr>
          <w:rFonts w:ascii="Calibri" w:hAnsi="Calibri"/>
          <w:color w:val="8B0000"/>
        </w:rPr>
        <w:t xml:space="preserve"> Relationship Model</w:t>
      </w:r>
      <w:r w:rsidR="00840343">
        <w:rPr>
          <w:rFonts w:ascii="Calibri" w:hAnsi="Calibri"/>
          <w:color w:val="8B0000"/>
        </w:rPr>
        <w:t xml:space="preserve"> </w:t>
      </w:r>
    </w:p>
    <w:p w14:paraId="193EF35E" w14:textId="77777777" w:rsidR="00840343" w:rsidRDefault="00840343" w:rsidP="00840343"/>
    <w:p w14:paraId="06E597AA" w14:textId="33CB9537" w:rsidR="00840343" w:rsidRPr="00840343" w:rsidRDefault="00840343" w:rsidP="00840343">
      <w:r>
        <w:rPr>
          <w:noProof/>
        </w:rPr>
        <w:drawing>
          <wp:inline distT="0" distB="0" distL="0" distR="0" wp14:anchorId="24282D22" wp14:editId="7D43F294">
            <wp:extent cx="5486400" cy="4410075"/>
            <wp:effectExtent l="0" t="0" r="0" b="9525"/>
            <wp:docPr id="205193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31381" name="Picture 2051931381"/>
                    <pic:cNvPicPr/>
                  </pic:nvPicPr>
                  <pic:blipFill>
                    <a:blip r:embed="rId6"/>
                    <a:stretch>
                      <a:fillRect/>
                    </a:stretch>
                  </pic:blipFill>
                  <pic:spPr>
                    <a:xfrm>
                      <a:off x="0" y="0"/>
                      <a:ext cx="5486400" cy="4410075"/>
                    </a:xfrm>
                    <a:prstGeom prst="rect">
                      <a:avLst/>
                    </a:prstGeom>
                  </pic:spPr>
                </pic:pic>
              </a:graphicData>
            </a:graphic>
          </wp:inline>
        </w:drawing>
      </w:r>
    </w:p>
    <w:p w14:paraId="287C7615" w14:textId="77777777" w:rsidR="0073138A" w:rsidRPr="0073138A" w:rsidRDefault="0073138A">
      <w:pPr>
        <w:rPr>
          <w:rFonts w:ascii="Calibri" w:hAnsi="Calibri"/>
        </w:rPr>
      </w:pPr>
    </w:p>
    <w:sectPr w:rsidR="0073138A" w:rsidRPr="007313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968668">
    <w:abstractNumId w:val="8"/>
  </w:num>
  <w:num w:numId="2" w16cid:durableId="1416393510">
    <w:abstractNumId w:val="6"/>
  </w:num>
  <w:num w:numId="3" w16cid:durableId="714233533">
    <w:abstractNumId w:val="5"/>
  </w:num>
  <w:num w:numId="4" w16cid:durableId="605238702">
    <w:abstractNumId w:val="4"/>
  </w:num>
  <w:num w:numId="5" w16cid:durableId="1202671637">
    <w:abstractNumId w:val="7"/>
  </w:num>
  <w:num w:numId="6" w16cid:durableId="821771959">
    <w:abstractNumId w:val="3"/>
  </w:num>
  <w:num w:numId="7" w16cid:durableId="512184093">
    <w:abstractNumId w:val="2"/>
  </w:num>
  <w:num w:numId="8" w16cid:durableId="1949268079">
    <w:abstractNumId w:val="1"/>
  </w:num>
  <w:num w:numId="9" w16cid:durableId="1677809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C4"/>
    <w:rsid w:val="0006063C"/>
    <w:rsid w:val="000815DF"/>
    <w:rsid w:val="000F0AF4"/>
    <w:rsid w:val="0015074B"/>
    <w:rsid w:val="0029639D"/>
    <w:rsid w:val="00326F90"/>
    <w:rsid w:val="004A2ADC"/>
    <w:rsid w:val="00691339"/>
    <w:rsid w:val="0073138A"/>
    <w:rsid w:val="00840343"/>
    <w:rsid w:val="009E6C93"/>
    <w:rsid w:val="00AA1D8D"/>
    <w:rsid w:val="00B4637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0C7D86-E62B-4190-A3B7-BBA278C0F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Shinde</cp:lastModifiedBy>
  <cp:revision>6</cp:revision>
  <dcterms:created xsi:type="dcterms:W3CDTF">2013-12-23T23:15:00Z</dcterms:created>
  <dcterms:modified xsi:type="dcterms:W3CDTF">2026-02-09T16:02:00Z</dcterms:modified>
  <cp:category/>
</cp:coreProperties>
</file>