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8B0000"/>
          <w:sz w:val="40"/>
        </w:rPr>
        <w:t>Global Terrorism Trends &amp; Operational Dynamics (1970–2020)</w:t>
      </w:r>
    </w:p>
    <w:p>
      <w:pPr>
        <w:jc w:val="center"/>
      </w:pPr>
      <w:r>
        <w:rPr>
          <w:rFonts w:ascii="Calibri" w:hAnsi="Calibri"/>
          <w:i/>
          <w:sz w:val="24"/>
        </w:rPr>
        <w:t>Dashboard Descriptions</w:t>
      </w:r>
    </w:p>
    <w:p/>
    <w:p>
      <w:pPr>
        <w:pStyle w:val="Heading1"/>
      </w:pPr>
      <w:r>
        <w:rPr>
          <w:rFonts w:ascii="Calibri" w:hAnsi="Calibri"/>
          <w:color w:val="8B0000"/>
        </w:rPr>
        <w:t>Dashboard 1: Global Trends &amp; Geography</w:t>
      </w:r>
    </w:p>
    <w:p>
      <w:r>
        <w:rPr>
          <w:rFonts w:ascii="Calibri" w:hAnsi="Calibri"/>
          <w:sz w:val="22"/>
        </w:rPr>
        <w:t>This dashboard provides macro-level context by examining how the frequency of terrorist incidents has evolved over time and across geographic regions. It focuses on long-term trends rather than short-term fluctuations, enabling viewers to understand broad temporal and regional patterns. The dashboard intentionally avoids incident-level detail and emphasizes aggregated views to support responsible interpretation.</w:t>
      </w:r>
    </w:p>
    <w:p>
      <w:pPr>
        <w:pStyle w:val="Heading1"/>
      </w:pPr>
      <w:r>
        <w:rPr>
          <w:rFonts w:ascii="Calibri" w:hAnsi="Calibri"/>
          <w:color w:val="8B0000"/>
        </w:rPr>
        <w:t>Dashboard 2: Tactical &amp; Target Dynamics</w:t>
      </w:r>
    </w:p>
    <w:p>
      <w:r>
        <w:rPr>
          <w:rFonts w:ascii="Calibri" w:hAnsi="Calibri"/>
          <w:sz w:val="22"/>
        </w:rPr>
        <w:t>This dashboard explores how terrorist incidents are carried out and who is targeted, using aggregated distributions of attack types, weapon categories, and target types. The objective is to identify structural patterns in tactics and targeting behavior without attributing intent, effectiveness, or organizational strategy.</w:t>
      </w:r>
    </w:p>
    <w:p>
      <w:pPr>
        <w:pStyle w:val="Heading1"/>
      </w:pPr>
      <w:r>
        <w:rPr>
          <w:rFonts w:ascii="Calibri" w:hAnsi="Calibri"/>
          <w:color w:val="8B0000"/>
        </w:rPr>
        <w:t>Dashboard 5: Operational Complexity &amp; Incident Characteristics</w:t>
      </w:r>
    </w:p>
    <w:p>
      <w:r>
        <w:rPr>
          <w:rFonts w:ascii="Calibri" w:hAnsi="Calibri"/>
          <w:sz w:val="22"/>
        </w:rPr>
        <w:t>This dashboard examines the structural and operational characteristics of incidents, including coordination, duration, outcomes, and regional variations in incident complexity. It highlights how the nature of incidents has changed over time while maintaining a descriptive and non-judgmental analytical lens.</w:t>
      </w:r>
    </w:p>
    <w:p>
      <w:pPr>
        <w:pStyle w:val="Heading1"/>
      </w:pPr>
      <w:r>
        <w:rPr>
          <w:rFonts w:ascii="Calibri" w:hAnsi="Calibri"/>
          <w:color w:val="8B0000"/>
        </w:rPr>
        <w:t>Dashboard 3: Severity, Impact &amp; Outcomes</w:t>
      </w:r>
    </w:p>
    <w:p>
      <w:r>
        <w:rPr>
          <w:rFonts w:ascii="Calibri" w:hAnsi="Calibri"/>
          <w:sz w:val="22"/>
        </w:rPr>
        <w:t>This dashboard shifts focus from incident frequency to human impact by analyzing fatalities and injuries associated with terrorist incidents. Metrics are presented in aggregate to contextualize severity trends without sensationalizing individual events or drawing causal conclusions.</w:t>
      </w:r>
    </w:p>
    <w:p>
      <w:pPr>
        <w:pStyle w:val="Heading1"/>
      </w:pPr>
      <w:r>
        <w:rPr>
          <w:rFonts w:ascii="Calibri" w:hAnsi="Calibri"/>
          <w:color w:val="8B0000"/>
        </w:rPr>
        <w:t>Dashboard 4: Attribution, Certainty &amp; Analytical Limitations</w:t>
      </w:r>
    </w:p>
    <w:p>
      <w:r>
        <w:rPr>
          <w:rFonts w:ascii="Calibri" w:hAnsi="Calibri"/>
          <w:sz w:val="22"/>
        </w:rPr>
        <w:t>This dashboard addresses data quality and interpretability by examining attribution certainty, reporting confidence, and classification flags. Its purpose is to help viewers understand the limitations inherent in terrorism data and to encourage cautious interpretation of analytical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