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8B0000"/>
          <w:sz w:val="40"/>
        </w:rPr>
        <w:t>Global Terrorism Trends &amp; Operational Dynamics (1970–2020)</w:t>
      </w:r>
    </w:p>
    <w:p>
      <w:pPr>
        <w:jc w:val="center"/>
      </w:pPr>
      <w:r>
        <w:rPr>
          <w:rFonts w:ascii="Calibri" w:hAnsi="Calibri"/>
          <w:i/>
          <w:sz w:val="24"/>
        </w:rPr>
        <w:t>Analytical Limitations</w:t>
      </w:r>
    </w:p>
    <w:p/>
    <w:p>
      <w:pPr>
        <w:pStyle w:val="Heading1"/>
      </w:pPr>
      <w:r>
        <w:rPr>
          <w:rFonts w:ascii="Calibri" w:hAnsi="Calibri"/>
          <w:color w:val="8B0000"/>
        </w:rPr>
        <w:t>1. Reporting Bias and Underreporting</w:t>
      </w:r>
    </w:p>
    <w:p>
      <w:r>
        <w:rPr>
          <w:rFonts w:ascii="Calibri" w:hAnsi="Calibri"/>
          <w:sz w:val="22"/>
        </w:rPr>
        <w:t>The Global Terrorism Database is compiled from publicly available sources such as media reports and official records. As a result, incident coverage varies by time period and region. Earlier decades, particularly the 1970s and 1980s, are likely to reflect underreporting due to limited media reach and inconsistent documentation practices.</w:t>
      </w:r>
    </w:p>
    <w:p>
      <w:pPr>
        <w:pStyle w:val="Heading1"/>
      </w:pPr>
      <w:r>
        <w:rPr>
          <w:rFonts w:ascii="Calibri" w:hAnsi="Calibri"/>
          <w:color w:val="8B0000"/>
        </w:rPr>
        <w:t>2. Incomplete Attribution Information</w:t>
      </w:r>
    </w:p>
    <w:p>
      <w:r>
        <w:rPr>
          <w:rFonts w:ascii="Calibri" w:hAnsi="Calibri"/>
          <w:sz w:val="22"/>
        </w:rPr>
        <w:t>Many incidents in the dataset lack confirmed perpetrator attribution or claimed responsibility. This limitation restricts group-level analysis and introduces uncertainty in interpreting organizational patterns. To address this, the project avoids perpetrator-focused views and emphasizes aggregated structural analysis.</w:t>
      </w:r>
    </w:p>
    <w:p>
      <w:pPr>
        <w:pStyle w:val="Heading1"/>
      </w:pPr>
      <w:r>
        <w:rPr>
          <w:rFonts w:ascii="Calibri" w:hAnsi="Calibri"/>
          <w:color w:val="8B0000"/>
        </w:rPr>
        <w:t>3. Ambiguity in Incident Classification</w:t>
      </w:r>
    </w:p>
    <w:p>
      <w:r>
        <w:rPr>
          <w:rFonts w:ascii="Calibri" w:hAnsi="Calibri"/>
          <w:sz w:val="22"/>
        </w:rPr>
        <w:t>Certain classification flags, such as attack success or doubt regarding terrorist intent, are based on available reporting rather than definitive verification. These classifications should be interpreted as indicators of reporting confidence rather than objective measures of intent or effectiveness.</w:t>
      </w:r>
    </w:p>
    <w:p>
      <w:pPr>
        <w:pStyle w:val="Heading1"/>
      </w:pPr>
      <w:r>
        <w:rPr>
          <w:rFonts w:ascii="Calibri" w:hAnsi="Calibri"/>
          <w:color w:val="8B0000"/>
        </w:rPr>
        <w:t>4. Casualty Data Uncertainty</w:t>
      </w:r>
    </w:p>
    <w:p>
      <w:r>
        <w:rPr>
          <w:rFonts w:ascii="Calibri" w:hAnsi="Calibri"/>
          <w:sz w:val="22"/>
        </w:rPr>
        <w:t>Fatality and injury counts may be revised over time or reported inconsistently across sources. Some incidents record approximate or missing casualty figures. The project mitigates this limitation by analyzing long-term trends and aggregated patterns rather than individual incident values.</w:t>
      </w:r>
    </w:p>
    <w:p>
      <w:pPr>
        <w:pStyle w:val="Heading1"/>
      </w:pPr>
      <w:r>
        <w:rPr>
          <w:rFonts w:ascii="Calibri" w:hAnsi="Calibri"/>
          <w:color w:val="8B0000"/>
        </w:rPr>
        <w:t>5. Temporal Comparability</w:t>
      </w:r>
    </w:p>
    <w:p>
      <w:r>
        <w:rPr>
          <w:rFonts w:ascii="Calibri" w:hAnsi="Calibri"/>
          <w:sz w:val="22"/>
        </w:rPr>
        <w:t>Changes in reporting standards, data collection methodologies, and geopolitical context over time affect the comparability of incidents across decades. Observed trends may partially reflect improvements in reporting rather than absolute changes in underlying activity.</w:t>
      </w:r>
    </w:p>
    <w:p>
      <w:pPr>
        <w:pStyle w:val="Heading1"/>
      </w:pPr>
      <w:r>
        <w:rPr>
          <w:rFonts w:ascii="Calibri" w:hAnsi="Calibri"/>
          <w:color w:val="8B0000"/>
        </w:rPr>
        <w:t>6. Interpretation Boundaries</w:t>
      </w:r>
    </w:p>
    <w:p>
      <w:r>
        <w:rPr>
          <w:rFonts w:ascii="Calibri" w:hAnsi="Calibri"/>
          <w:sz w:val="22"/>
        </w:rPr>
        <w:t>The analytical outputs of this project are descriptive in nature and do not imply causality, risk prediction, or policy effectiveness. Findings should be interpreted as patterns observed within the dataset rather than definitive representations of real-world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