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8B0000"/>
          <w:sz w:val="40"/>
        </w:rPr>
        <w:t>Global Terrorism Trends &amp; Operational Dynamics (1970–2020)</w:t>
      </w:r>
    </w:p>
    <w:p>
      <w:pPr>
        <w:jc w:val="center"/>
      </w:pPr>
      <w:r>
        <w:rPr>
          <w:rFonts w:ascii="Calibri" w:hAnsi="Calibri"/>
          <w:i/>
          <w:sz w:val="24"/>
        </w:rPr>
        <w:t>Ethical Framework</w:t>
      </w:r>
    </w:p>
    <w:p/>
    <w:p>
      <w:pPr>
        <w:pStyle w:val="Heading1"/>
      </w:pPr>
      <w:r>
        <w:rPr>
          <w:rFonts w:ascii="Calibri" w:hAnsi="Calibri"/>
          <w:color w:val="8B0000"/>
        </w:rPr>
        <w:t>1. Ethical Context of Terrorism Data</w:t>
      </w:r>
    </w:p>
    <w:p>
      <w:r>
        <w:rPr>
          <w:rFonts w:ascii="Calibri" w:hAnsi="Calibri"/>
          <w:sz w:val="22"/>
        </w:rPr>
        <w:t>Terrorism-related datasets represent real-world violence and human suffering. As such, they require careful analytical handling to avoid misrepresentation, harmful narratives, or unintended glorification. This project treats terrorism data as a subject for responsible analysis rather than sensational reporting.</w:t>
      </w:r>
    </w:p>
    <w:p>
      <w:pPr>
        <w:pStyle w:val="Heading1"/>
      </w:pPr>
      <w:r>
        <w:rPr>
          <w:rFonts w:ascii="Calibri" w:hAnsi="Calibri"/>
          <w:color w:val="8B0000"/>
        </w:rPr>
        <w:t>2. Aggregation-First Analytical Approach</w:t>
      </w:r>
    </w:p>
    <w:p>
      <w:r>
        <w:rPr>
          <w:rFonts w:ascii="Calibri" w:hAnsi="Calibri"/>
          <w:sz w:val="22"/>
        </w:rPr>
        <w:t>All analyses in this project are conducted at an aggregated level. Incident-level storytelling, detailed case descriptions, and event-specific narratives are intentionally excluded. Aggregation reduces the risk of dramatization and supports a focus on long-term patterns rather than isolated events.</w:t>
      </w:r>
    </w:p>
    <w:p>
      <w:pPr>
        <w:pStyle w:val="Heading1"/>
      </w:pPr>
      <w:r>
        <w:rPr>
          <w:rFonts w:ascii="Calibri" w:hAnsi="Calibri"/>
          <w:color w:val="8B0000"/>
        </w:rPr>
        <w:t>3. Avoidance of Perpetrator-Centric Analysis</w:t>
      </w:r>
    </w:p>
    <w:p>
      <w:r>
        <w:rPr>
          <w:rFonts w:ascii="Calibri" w:hAnsi="Calibri"/>
          <w:sz w:val="22"/>
        </w:rPr>
        <w:t>The project deliberately avoids ranking, profiling, or highlighting specific terrorist organizations or individuals. In addition to data reliability concerns, perpetrator-focused analysis can contribute to unintended amplification. Analytical emphasis is instead placed on structural characteristics and trends.</w:t>
      </w:r>
    </w:p>
    <w:p>
      <w:pPr>
        <w:pStyle w:val="Heading1"/>
      </w:pPr>
      <w:r>
        <w:rPr>
          <w:rFonts w:ascii="Calibri" w:hAnsi="Calibri"/>
          <w:color w:val="8B0000"/>
        </w:rPr>
        <w:t>4. Responsible Language and Visual Design</w:t>
      </w:r>
    </w:p>
    <w:p>
      <w:r>
        <w:rPr>
          <w:rFonts w:ascii="Calibri" w:hAnsi="Calibri"/>
          <w:sz w:val="22"/>
        </w:rPr>
        <w:t>Language choices throughout the project are neutral and descriptive. Terms that imply effectiveness, danger ranking, or moral judgment are avoided. Visual design follows an academic aesthetic, prioritizing clarity, balance, and interpretability over visual impact.</w:t>
      </w:r>
    </w:p>
    <w:p>
      <w:pPr>
        <w:pStyle w:val="Heading1"/>
      </w:pPr>
      <w:r>
        <w:rPr>
          <w:rFonts w:ascii="Calibri" w:hAnsi="Calibri"/>
          <w:color w:val="8B0000"/>
        </w:rPr>
        <w:t>5. Transparency and Interpretive Caution</w:t>
      </w:r>
    </w:p>
    <w:p>
      <w:r>
        <w:rPr>
          <w:rFonts w:ascii="Calibri" w:hAnsi="Calibri"/>
          <w:sz w:val="22"/>
        </w:rPr>
        <w:t>Each dashboard is accompanied by documentation that clarifies analytical scope, data limitations, and interpretation boundaries. This transparency helps ensure that insights are not overstated and that viewers understand the constraints of the underlying data.</w:t>
      </w:r>
    </w:p>
    <w:p>
      <w:pPr>
        <w:pStyle w:val="Heading1"/>
      </w:pPr>
      <w:r>
        <w:rPr>
          <w:rFonts w:ascii="Calibri" w:hAnsi="Calibri"/>
          <w:color w:val="8B0000"/>
        </w:rPr>
        <w:t>6. Ethical Responsibility of the Analyst</w:t>
      </w:r>
    </w:p>
    <w:p>
      <w:r>
        <w:rPr>
          <w:rFonts w:ascii="Calibri" w:hAnsi="Calibri"/>
          <w:sz w:val="22"/>
        </w:rPr>
        <w:t>This project reflects the responsibility of data analysts to consider the broader implications of their work. Ethical judgment is integrated into data modeling, visualization design, and documentation, reinforcing the principle that technical capability should be matched with analytical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