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3153" w14:textId="77777777" w:rsidR="00F77395" w:rsidRDefault="00EC1819">
      <w:pPr>
        <w:pStyle w:val="Heading1"/>
        <w:jc w:val="center"/>
      </w:pPr>
      <w:r>
        <w:rPr>
          <w:color w:val="8B0000"/>
        </w:rPr>
        <w:t>Global Terrorism Trends &amp; Operational Dynamics (1970–2020)</w:t>
      </w:r>
    </w:p>
    <w:p w14:paraId="3F2426E0" w14:textId="3BF80458" w:rsidR="00F77395" w:rsidRDefault="00EC1819">
      <w:pPr>
        <w:jc w:val="center"/>
      </w:pPr>
      <w:r>
        <w:rPr>
          <w:i/>
        </w:rPr>
        <w:t xml:space="preserve"> Dashboard Insights</w:t>
      </w:r>
    </w:p>
    <w:p w14:paraId="68F4449A" w14:textId="77777777" w:rsidR="00F77395" w:rsidRDefault="00F77395"/>
    <w:p w14:paraId="7DF8B0FE" w14:textId="77777777" w:rsidR="00F77395" w:rsidRDefault="00EC1819">
      <w:pPr>
        <w:pStyle w:val="Heading2"/>
      </w:pPr>
      <w:r>
        <w:rPr>
          <w:color w:val="8B0000"/>
        </w:rPr>
        <w:t>D1 – Global Trends &amp; Geography</w:t>
      </w:r>
    </w:p>
    <w:p w14:paraId="48AAF370" w14:textId="77777777" w:rsidR="00F77395" w:rsidRDefault="00EC1819">
      <w:pPr>
        <w:pStyle w:val="ListBullet"/>
      </w:pPr>
      <w:r>
        <w:t>Global terrorist incidents remained below approximately 5,000 per year until the mid-2000s.</w:t>
      </w:r>
    </w:p>
    <w:p w14:paraId="6149F091" w14:textId="77777777" w:rsidR="00F77395" w:rsidRDefault="00EC1819">
      <w:pPr>
        <w:pStyle w:val="ListBullet"/>
      </w:pPr>
      <w:r>
        <w:t>A sharp rise is observed after 2010, peaking around 2014–2015 with more than 15,000 incidents annually.</w:t>
      </w:r>
    </w:p>
    <w:p w14:paraId="6C9EE58E" w14:textId="77777777" w:rsidR="00F77395" w:rsidRDefault="00EC1819">
      <w:pPr>
        <w:pStyle w:val="ListBullet"/>
      </w:pPr>
      <w:r>
        <w:t>Middle East &amp; North Africa (MENA) and South Asia contribute the largest regional share during peak years.</w:t>
      </w:r>
    </w:p>
    <w:p w14:paraId="26D97498" w14:textId="77777777" w:rsidR="00F77395" w:rsidRDefault="00EC1819">
      <w:pPr>
        <w:pStyle w:val="ListBullet"/>
      </w:pPr>
      <w:r>
        <w:t>Country-level aggregation highlights Iraq (~27,500), Afghanistan (~18,900), Pakistan (~15,500), and India (~13,900) as the highest contributors.</w:t>
      </w:r>
    </w:p>
    <w:p w14:paraId="7F5AB65E" w14:textId="77777777" w:rsidR="00F77395" w:rsidRDefault="00EC1819">
      <w:pPr>
        <w:pStyle w:val="ListBullet"/>
      </w:pPr>
      <w:r>
        <w:t>Although incidents are globally distributed, activity remains highly concentrated in a small number of countries.</w:t>
      </w:r>
    </w:p>
    <w:p w14:paraId="56133B78" w14:textId="77777777" w:rsidR="00F77395" w:rsidRDefault="00EC1819">
      <w:pPr>
        <w:pStyle w:val="Heading2"/>
      </w:pPr>
      <w:r>
        <w:rPr>
          <w:color w:val="8B0000"/>
        </w:rPr>
        <w:t>D2 – Tactical &amp; Target Dynamics</w:t>
      </w:r>
    </w:p>
    <w:p w14:paraId="3ADD463B" w14:textId="77777777" w:rsidR="00F77395" w:rsidRDefault="00EC1819">
      <w:pPr>
        <w:pStyle w:val="ListBullet"/>
      </w:pPr>
      <w:r>
        <w:t>Bombing and explosion-based attacks dominate the dataset with approximately 98,700 recorded incidents.</w:t>
      </w:r>
    </w:p>
    <w:p w14:paraId="55DC24E4" w14:textId="77777777" w:rsidR="00F77395" w:rsidRDefault="00EC1819">
      <w:pPr>
        <w:pStyle w:val="ListBullet"/>
      </w:pPr>
      <w:r>
        <w:t>Armed assaults (~54,000 incidents) represent the second most common attack method.</w:t>
      </w:r>
    </w:p>
    <w:p w14:paraId="79802866" w14:textId="77777777" w:rsidR="00F77395" w:rsidRDefault="00EC1819">
      <w:pPr>
        <w:pStyle w:val="ListBullet"/>
      </w:pPr>
      <w:r>
        <w:t>Explosives remain the dominant weapon type across all decades.</w:t>
      </w:r>
    </w:p>
    <w:p w14:paraId="449ACEA2" w14:textId="77777777" w:rsidR="00F77395" w:rsidRDefault="00EC1819">
      <w:pPr>
        <w:pStyle w:val="ListBullet"/>
      </w:pPr>
      <w:r>
        <w:t>Private citizens and private property form the most frequently targeted category (~59,000 incidents).</w:t>
      </w:r>
    </w:p>
    <w:p w14:paraId="01F6072E" w14:textId="77777777" w:rsidR="00F77395" w:rsidRDefault="00EC1819">
      <w:pPr>
        <w:pStyle w:val="ListBullet"/>
      </w:pPr>
      <w:r>
        <w:t>Military and police targets also experience substantial exposure.</w:t>
      </w:r>
    </w:p>
    <w:p w14:paraId="567E1985" w14:textId="77777777" w:rsidR="00F77395" w:rsidRDefault="00EC1819">
      <w:pPr>
        <w:pStyle w:val="Heading2"/>
      </w:pPr>
      <w:r>
        <w:rPr>
          <w:color w:val="8B0000"/>
        </w:rPr>
        <w:t>D3 – Operational Complexity &amp; Incident Characteristics</w:t>
      </w:r>
    </w:p>
    <w:p w14:paraId="3EA5EACC" w14:textId="77777777" w:rsidR="00F77395" w:rsidRDefault="00EC1819">
      <w:pPr>
        <w:pStyle w:val="ListBullet"/>
      </w:pPr>
      <w:r>
        <w:t>Single, non-extended incidents account for the majority of recorded events (~169,800 incidents).</w:t>
      </w:r>
    </w:p>
    <w:p w14:paraId="7E2D58AA" w14:textId="77777777" w:rsidR="00F77395" w:rsidRDefault="00EC1819">
      <w:pPr>
        <w:pStyle w:val="ListBullet"/>
      </w:pPr>
      <w:r>
        <w:t>Multiple-incident (~29,000) and extended incidents (~10,800) remain relatively uncommon.</w:t>
      </w:r>
    </w:p>
    <w:p w14:paraId="2CAF79AE" w14:textId="77777777" w:rsidR="00F77395" w:rsidRDefault="00EC1819">
      <w:pPr>
        <w:pStyle w:val="ListBullet"/>
      </w:pPr>
      <w:r>
        <w:t>Periods of high activity increase incident volume rather than operational complexity.</w:t>
      </w:r>
    </w:p>
    <w:p w14:paraId="62DBCEDE" w14:textId="77777777" w:rsidR="00F77395" w:rsidRDefault="00EC1819">
      <w:pPr>
        <w:pStyle w:val="ListBullet"/>
      </w:pPr>
      <w:r>
        <w:t>Higher-activity regions show slightly more complex incidents but remain dominated by single events.</w:t>
      </w:r>
    </w:p>
    <w:p w14:paraId="259BFF81" w14:textId="77777777" w:rsidR="00F77395" w:rsidRDefault="00EC1819">
      <w:pPr>
        <w:pStyle w:val="Heading2"/>
      </w:pPr>
      <w:r>
        <w:rPr>
          <w:color w:val="8B0000"/>
        </w:rPr>
        <w:t>D4 – Severity, Impact &amp; Outcomes</w:t>
      </w:r>
    </w:p>
    <w:p w14:paraId="6CA5BE12" w14:textId="77777777" w:rsidR="00F77395" w:rsidRDefault="00EC1819">
      <w:pPr>
        <w:pStyle w:val="ListBullet"/>
      </w:pPr>
      <w:r>
        <w:t>Deaths and injuries increase sharply after 2010, peaking around 2014–2015 with over 40,000 deaths annually.</w:t>
      </w:r>
    </w:p>
    <w:p w14:paraId="2D7999F3" w14:textId="77777777" w:rsidR="00F77395" w:rsidRDefault="00EC1819">
      <w:pPr>
        <w:pStyle w:val="ListBullet"/>
      </w:pPr>
      <w:r>
        <w:t>Injury counts consistently exceed fatalities across most years.</w:t>
      </w:r>
    </w:p>
    <w:p w14:paraId="2D13B7DA" w14:textId="77777777" w:rsidR="00F77395" w:rsidRDefault="00EC1819">
      <w:pPr>
        <w:pStyle w:val="ListBullet"/>
      </w:pPr>
      <w:r>
        <w:t>Hijacking and hostage-related incidents show the highest average fatalities per incident (~4–5).</w:t>
      </w:r>
    </w:p>
    <w:p w14:paraId="6880DEFD" w14:textId="77777777" w:rsidR="00F77395" w:rsidRDefault="00EC1819">
      <w:pPr>
        <w:pStyle w:val="ListBullet"/>
      </w:pPr>
      <w:r>
        <w:lastRenderedPageBreak/>
        <w:t>Bombing incidents, while frequent, have lower average fatalities (~1.8 per incident).</w:t>
      </w:r>
    </w:p>
    <w:p w14:paraId="32F783FA" w14:textId="77777777" w:rsidR="00F77395" w:rsidRDefault="00EC1819">
      <w:pPr>
        <w:pStyle w:val="ListBullet"/>
      </w:pPr>
      <w:r>
        <w:t>MENA (~149,700 deaths) and South Asia (~100,500 deaths) record the highest cumulative fatalities.</w:t>
      </w:r>
    </w:p>
    <w:p w14:paraId="5C8ECF28" w14:textId="77777777" w:rsidR="00F77395" w:rsidRDefault="00EC1819">
      <w:pPr>
        <w:pStyle w:val="Heading2"/>
      </w:pPr>
      <w:r>
        <w:rPr>
          <w:color w:val="8B0000"/>
        </w:rPr>
        <w:t>D5 – Attribution, Certainty &amp; Analytical Limitations</w:t>
      </w:r>
    </w:p>
    <w:p w14:paraId="6DAE1A5A" w14:textId="77777777" w:rsidR="00F77395" w:rsidRDefault="00EC1819">
      <w:pPr>
        <w:pStyle w:val="ListBullet"/>
      </w:pPr>
      <w:r>
        <w:t>Confirmed terrorism incidents (~174,500) form the majority of the dataset.</w:t>
      </w:r>
    </w:p>
    <w:p w14:paraId="4B35F351" w14:textId="77777777" w:rsidR="00F77395" w:rsidRDefault="00EC1819">
      <w:pPr>
        <w:pStyle w:val="ListBullet"/>
      </w:pPr>
      <w:r>
        <w:t>Approximately 35,200 incidents are classified as doubtful, highlighting classification uncertainty.</w:t>
      </w:r>
    </w:p>
    <w:p w14:paraId="6FC457BE" w14:textId="77777777" w:rsidR="00F77395" w:rsidRDefault="00EC1819">
      <w:pPr>
        <w:pStyle w:val="ListBullet"/>
      </w:pPr>
      <w:r>
        <w:t>Successful incidents (~185,300) significantly exceed unsuccessful incidents (~24,400).</w:t>
      </w:r>
    </w:p>
    <w:p w14:paraId="5A6714C0" w14:textId="77777777" w:rsidR="00F77395" w:rsidRDefault="00EC1819">
      <w:pPr>
        <w:pStyle w:val="ListBullet"/>
      </w:pPr>
      <w:r>
        <w:t>Earlier decades exhibit higher reporting and classification uncertainty.</w:t>
      </w:r>
    </w:p>
    <w:p w14:paraId="3F93E5FD" w14:textId="77777777" w:rsidR="00F77395" w:rsidRDefault="00EC1819">
      <w:pPr>
        <w:pStyle w:val="ListBullet"/>
      </w:pPr>
      <w:r>
        <w:t>Later years reflect improved data availability and classification clarity.</w:t>
      </w:r>
    </w:p>
    <w:sectPr w:rsidR="00F773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524480">
    <w:abstractNumId w:val="8"/>
  </w:num>
  <w:num w:numId="2" w16cid:durableId="925458704">
    <w:abstractNumId w:val="6"/>
  </w:num>
  <w:num w:numId="3" w16cid:durableId="2128430068">
    <w:abstractNumId w:val="5"/>
  </w:num>
  <w:num w:numId="4" w16cid:durableId="753282868">
    <w:abstractNumId w:val="4"/>
  </w:num>
  <w:num w:numId="5" w16cid:durableId="625696114">
    <w:abstractNumId w:val="7"/>
  </w:num>
  <w:num w:numId="6" w16cid:durableId="830147214">
    <w:abstractNumId w:val="3"/>
  </w:num>
  <w:num w:numId="7" w16cid:durableId="145636575">
    <w:abstractNumId w:val="2"/>
  </w:num>
  <w:num w:numId="8" w16cid:durableId="1543862806">
    <w:abstractNumId w:val="1"/>
  </w:num>
  <w:num w:numId="9" w16cid:durableId="126734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24C8"/>
    <w:rsid w:val="00B47730"/>
    <w:rsid w:val="00CB0664"/>
    <w:rsid w:val="00EA796E"/>
    <w:rsid w:val="00EC1819"/>
    <w:rsid w:val="00F77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B6007E3-2114-42C5-90A7-65694C7CD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Shinde</cp:lastModifiedBy>
  <cp:revision>2</cp:revision>
  <dcterms:created xsi:type="dcterms:W3CDTF">2013-12-23T23:15:00Z</dcterms:created>
  <dcterms:modified xsi:type="dcterms:W3CDTF">2026-02-09T15:59:00Z</dcterms:modified>
  <cp:category/>
</cp:coreProperties>
</file>