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1FD46" w14:textId="77777777" w:rsidR="009C4936" w:rsidRDefault="00000000">
      <w:pPr>
        <w:spacing w:before="240" w:after="40"/>
      </w:pPr>
      <w:r>
        <w:rPr>
          <w:color w:val="0F2444"/>
          <w:sz w:val="48"/>
          <w:szCs w:val="48"/>
        </w:rPr>
        <w:t>LLM Governance &amp; Cost Benchmarking Framework</w:t>
      </w:r>
    </w:p>
    <w:p w14:paraId="2B2E618A" w14:textId="77777777" w:rsidR="009C4936" w:rsidRDefault="00000000">
      <w:pPr>
        <w:spacing w:after="60"/>
      </w:pPr>
      <w:r>
        <w:rPr>
          <w:i/>
          <w:iCs/>
          <w:color w:val="2E5FA3"/>
          <w:sz w:val="24"/>
          <w:szCs w:val="24"/>
        </w:rPr>
        <w:t>Project Overview and Objective</w:t>
      </w:r>
    </w:p>
    <w:p w14:paraId="2D60AF65" w14:textId="77777777" w:rsidR="009C4936" w:rsidRDefault="009C4936">
      <w:pPr>
        <w:pBdr>
          <w:bottom w:val="single" w:sz="6" w:space="1" w:color="1B3A6B"/>
        </w:pBdr>
        <w:spacing w:after="180"/>
      </w:pPr>
    </w:p>
    <w:p w14:paraId="71357B5F" w14:textId="77777777" w:rsidR="009C4936" w:rsidRDefault="00000000">
      <w:pPr>
        <w:pStyle w:val="Heading1"/>
        <w:spacing w:before="340" w:after="120"/>
      </w:pPr>
      <w:r>
        <w:rPr>
          <w:b/>
          <w:bCs/>
          <w:color w:val="1B3A6B"/>
          <w:sz w:val="28"/>
          <w:szCs w:val="28"/>
        </w:rPr>
        <w:t>1. What This Project Is</w:t>
      </w:r>
    </w:p>
    <w:p w14:paraId="2BCAE8DE" w14:textId="77777777" w:rsidR="009C4936" w:rsidRDefault="00000000">
      <w:pPr>
        <w:spacing w:before="80" w:after="120" w:line="276" w:lineRule="auto"/>
        <w:jc w:val="both"/>
      </w:pPr>
      <w:r>
        <w:t>This is an Analytics Engineering and Data Analysis project. It is not a machine learning project. It does not call live LLM APIs. It builds the governance infrastructure that answers a question every data team operating LLMs at scale needs to answer.</w:t>
      </w:r>
    </w:p>
    <w:p w14:paraId="22546225" w14:textId="77777777" w:rsidR="009C4936" w:rsidRDefault="009C4936">
      <w:pPr>
        <w:spacing w:before="100"/>
      </w:pPr>
    </w:p>
    <w:p w14:paraId="1A45E296" w14:textId="77777777" w:rsidR="009C4936" w:rsidRDefault="00000000">
      <w:pPr>
        <w:pBdr>
          <w:left w:val="single" w:sz="18" w:space="6" w:color="1B3A6B"/>
        </w:pBdr>
        <w:spacing w:before="140" w:after="140"/>
        <w:ind w:left="360"/>
      </w:pPr>
      <w:r>
        <w:rPr>
          <w:b/>
          <w:bCs/>
          <w:i/>
          <w:iCs/>
          <w:color w:val="1B3A6B"/>
        </w:rPr>
        <w:t>Are we spending on the right models for the right jobs — and are those models producing output we can trust?</w:t>
      </w:r>
    </w:p>
    <w:p w14:paraId="0612505D" w14:textId="77777777" w:rsidR="009C4936" w:rsidRDefault="009C4936">
      <w:pPr>
        <w:spacing w:before="100"/>
      </w:pPr>
    </w:p>
    <w:p w14:paraId="07A1B849" w14:textId="77777777" w:rsidR="009C4936" w:rsidRDefault="00000000">
      <w:pPr>
        <w:spacing w:before="80" w:after="120" w:line="276" w:lineRule="auto"/>
        <w:jc w:val="both"/>
      </w:pPr>
      <w:r>
        <w:t xml:space="preserve">The project benchmarks 5 LLM providers across 3 fintech governance workloads using real </w:t>
      </w:r>
      <w:proofErr w:type="spellStart"/>
      <w:r>
        <w:t>PhonePe</w:t>
      </w:r>
      <w:proofErr w:type="spellEnd"/>
      <w:r>
        <w:t xml:space="preserve"> transaction data as the analytical foundation. It quantifies cost efficiency, governance quality, hallucination risk, and misallocation waste — all built in SQL, all surfaced in Power BI.</w:t>
      </w:r>
    </w:p>
    <w:p w14:paraId="62277A58" w14:textId="77777777" w:rsidR="009C4936" w:rsidRDefault="009C4936">
      <w:pPr>
        <w:spacing w:before="120"/>
      </w:pPr>
    </w:p>
    <w:p w14:paraId="1F8D7A28" w14:textId="77777777" w:rsidR="009C4936" w:rsidRDefault="00000000">
      <w:pPr>
        <w:pStyle w:val="Heading1"/>
        <w:spacing w:before="340" w:after="120"/>
      </w:pPr>
      <w:r>
        <w:rPr>
          <w:b/>
          <w:bCs/>
          <w:color w:val="1B3A6B"/>
          <w:sz w:val="28"/>
          <w:szCs w:val="28"/>
        </w:rPr>
        <w:t>2. The Business Problem</w:t>
      </w:r>
    </w:p>
    <w:p w14:paraId="1194117F" w14:textId="77777777" w:rsidR="009C4936" w:rsidRDefault="00000000">
      <w:pPr>
        <w:spacing w:before="80" w:after="120" w:line="276" w:lineRule="auto"/>
        <w:jc w:val="both"/>
      </w:pPr>
      <w:r>
        <w:t>Most organizations deploying LLMs for financial reporting face three problems they cannot currently measure.</w:t>
      </w:r>
    </w:p>
    <w:p w14:paraId="786FFB1E" w14:textId="77777777" w:rsidR="009C4936" w:rsidRDefault="009C4936">
      <w:pPr>
        <w:spacing w:before="80"/>
      </w:pPr>
    </w:p>
    <w:p w14:paraId="7B01A0C3" w14:textId="77777777" w:rsidR="009C4936" w:rsidRDefault="00000000">
      <w:pPr>
        <w:pStyle w:val="ListParagraph"/>
        <w:numPr>
          <w:ilvl w:val="0"/>
          <w:numId w:val="2"/>
        </w:numPr>
        <w:spacing w:before="60" w:after="80" w:line="260" w:lineRule="auto"/>
      </w:pPr>
      <w:r>
        <w:rPr>
          <w:b/>
          <w:bCs/>
          <w:color w:val="1B3A6B"/>
        </w:rPr>
        <w:t>Cost Misallocation</w:t>
      </w:r>
      <w:r>
        <w:t xml:space="preserve"> — Enterprise-tier models running exploratory queries. Lightweight models running compliance reports. No governance policy enforced. Cost waste is invisible.</w:t>
      </w:r>
    </w:p>
    <w:p w14:paraId="08814437" w14:textId="77777777" w:rsidR="009C4936" w:rsidRDefault="00000000">
      <w:pPr>
        <w:pStyle w:val="ListParagraph"/>
        <w:numPr>
          <w:ilvl w:val="0"/>
          <w:numId w:val="2"/>
        </w:numPr>
        <w:spacing w:before="60" w:after="80" w:line="260" w:lineRule="auto"/>
      </w:pPr>
      <w:r>
        <w:rPr>
          <w:b/>
          <w:bCs/>
          <w:color w:val="1B3A6B"/>
        </w:rPr>
        <w:t>Quality Risk</w:t>
      </w:r>
      <w:r>
        <w:t xml:space="preserve"> — Hallucination rates and governance scores vary significantly across providers. Without a benchmarking layer, compliance teams cannot verify that model outputs meet the accuracy standards required for regulated financial reporting.</w:t>
      </w:r>
    </w:p>
    <w:p w14:paraId="6222B0B2" w14:textId="77777777" w:rsidR="009C4936" w:rsidRDefault="00000000">
      <w:pPr>
        <w:pStyle w:val="ListParagraph"/>
        <w:numPr>
          <w:ilvl w:val="0"/>
          <w:numId w:val="2"/>
        </w:numPr>
        <w:spacing w:before="60" w:after="80" w:line="260" w:lineRule="auto"/>
      </w:pPr>
      <w:r>
        <w:rPr>
          <w:b/>
          <w:bCs/>
          <w:color w:val="1B3A6B"/>
        </w:rPr>
        <w:t>No Decision Framework</w:t>
      </w:r>
      <w:r>
        <w:t xml:space="preserve"> — No structured way to compare providers on cost, quality, and risk simultaneously. Model selection is based on reputation or price alone — not data.</w:t>
      </w:r>
    </w:p>
    <w:p w14:paraId="67E177C6" w14:textId="77777777" w:rsidR="009C4936" w:rsidRDefault="009C4936">
      <w:pPr>
        <w:spacing w:before="100"/>
      </w:pPr>
    </w:p>
    <w:p w14:paraId="4FBCE256" w14:textId="77777777" w:rsidR="009C4936" w:rsidRDefault="00000000">
      <w:pPr>
        <w:spacing w:before="80" w:after="120" w:line="276" w:lineRule="auto"/>
        <w:jc w:val="both"/>
      </w:pPr>
      <w:r>
        <w:t>This project builds the data infrastructure to measure all three — and delivers a clear recommendation layer on top.</w:t>
      </w:r>
    </w:p>
    <w:p w14:paraId="1C43DD4E" w14:textId="77777777" w:rsidR="009C4936" w:rsidRDefault="009C4936">
      <w:pPr>
        <w:spacing w:before="120"/>
      </w:pPr>
    </w:p>
    <w:p w14:paraId="70502A4C" w14:textId="77777777" w:rsidR="00044AA3" w:rsidRDefault="00044AA3">
      <w:pPr>
        <w:spacing w:before="120"/>
      </w:pPr>
    </w:p>
    <w:p w14:paraId="42BEB023" w14:textId="77777777" w:rsidR="00044AA3" w:rsidRDefault="00044AA3">
      <w:pPr>
        <w:spacing w:before="120"/>
      </w:pPr>
    </w:p>
    <w:p w14:paraId="22290786" w14:textId="77777777" w:rsidR="00044AA3" w:rsidRDefault="00044AA3">
      <w:pPr>
        <w:spacing w:before="120"/>
      </w:pPr>
    </w:p>
    <w:p w14:paraId="2C90AEBA" w14:textId="77777777" w:rsidR="00044AA3" w:rsidRDefault="00044AA3">
      <w:pPr>
        <w:spacing w:before="120"/>
      </w:pPr>
    </w:p>
    <w:p w14:paraId="728DA790" w14:textId="77777777" w:rsidR="009C4936" w:rsidRDefault="00000000">
      <w:pPr>
        <w:pStyle w:val="Heading1"/>
        <w:spacing w:before="340" w:after="120"/>
      </w:pPr>
      <w:r>
        <w:rPr>
          <w:b/>
          <w:bCs/>
          <w:color w:val="1B3A6B"/>
          <w:sz w:val="28"/>
          <w:szCs w:val="28"/>
        </w:rPr>
        <w:lastRenderedPageBreak/>
        <w:t>3. How It Is Built</w:t>
      </w:r>
    </w:p>
    <w:p w14:paraId="3F62424A" w14:textId="77777777" w:rsidR="009C4936" w:rsidRDefault="00000000">
      <w:pPr>
        <w:spacing w:before="80" w:after="120" w:line="276" w:lineRule="auto"/>
        <w:jc w:val="both"/>
      </w:pPr>
      <w:r>
        <w:t>The architecture follows a strict SQL-first design. Python handles one job — loading raw CSV data into the staging table. Everything else is SQL. All business logic, KPI computation, governance scoring, misallocation detection, cost calculation, and the full view layer are built and maintained in MySQL.</w:t>
      </w:r>
    </w:p>
    <w:p w14:paraId="3795D7D7" w14:textId="77777777" w:rsidR="009C4936" w:rsidRDefault="009C493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9C4936" w14:paraId="58755DBF"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0A862D79" w14:textId="77777777" w:rsidR="009C4936" w:rsidRDefault="00000000">
            <w:r>
              <w:rPr>
                <w:b/>
                <w:bCs/>
                <w:color w:val="FFFFFF"/>
                <w:sz w:val="20"/>
                <w:szCs w:val="20"/>
              </w:rPr>
              <w:t>Layer</w:t>
            </w:r>
          </w:p>
        </w:tc>
        <w:tc>
          <w:tcPr>
            <w:tcW w:w="30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588B30AE" w14:textId="77777777" w:rsidR="009C4936" w:rsidRDefault="00000000">
            <w:r>
              <w:rPr>
                <w:b/>
                <w:bCs/>
                <w:color w:val="FFFFFF"/>
                <w:sz w:val="20"/>
                <w:szCs w:val="20"/>
              </w:rPr>
              <w:t>Tool</w:t>
            </w:r>
          </w:p>
        </w:tc>
        <w:tc>
          <w:tcPr>
            <w:tcW w:w="43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6ED7661D" w14:textId="77777777" w:rsidR="009C4936" w:rsidRDefault="00000000">
            <w:r>
              <w:rPr>
                <w:b/>
                <w:bCs/>
                <w:color w:val="FFFFFF"/>
                <w:sz w:val="20"/>
                <w:szCs w:val="20"/>
              </w:rPr>
              <w:t>Responsibility</w:t>
            </w:r>
          </w:p>
        </w:tc>
      </w:tr>
      <w:tr w:rsidR="009C4936" w14:paraId="6A8A95EB" w14:textId="77777777">
        <w:tblPrEx>
          <w:tblCellMar>
            <w:top w:w="0" w:type="dxa"/>
            <w:bottom w:w="0" w:type="dxa"/>
          </w:tblCellMar>
        </w:tblPrEx>
        <w:tc>
          <w:tcPr>
            <w:tcW w:w="20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299A41ED" w14:textId="77777777" w:rsidR="009C4936" w:rsidRDefault="00000000">
            <w:r>
              <w:rPr>
                <w:b/>
                <w:bCs/>
                <w:sz w:val="20"/>
                <w:szCs w:val="20"/>
              </w:rPr>
              <w:t>Ingestion</w:t>
            </w:r>
          </w:p>
        </w:tc>
        <w:tc>
          <w:tcPr>
            <w:tcW w:w="30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1DDFFD43" w14:textId="77777777" w:rsidR="009C4936" w:rsidRDefault="00000000">
            <w:r>
              <w:rPr>
                <w:sz w:val="20"/>
                <w:szCs w:val="20"/>
              </w:rPr>
              <w:t>Python — VS Code</w:t>
            </w:r>
          </w:p>
        </w:tc>
        <w:tc>
          <w:tcPr>
            <w:tcW w:w="43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3503B6DA" w14:textId="77777777" w:rsidR="009C4936" w:rsidRDefault="00000000">
            <w:r>
              <w:rPr>
                <w:sz w:val="20"/>
                <w:szCs w:val="20"/>
              </w:rPr>
              <w:t xml:space="preserve">Load raw </w:t>
            </w:r>
            <w:proofErr w:type="spellStart"/>
            <w:r>
              <w:rPr>
                <w:sz w:val="20"/>
                <w:szCs w:val="20"/>
              </w:rPr>
              <w:t>PhonePe</w:t>
            </w:r>
            <w:proofErr w:type="spellEnd"/>
            <w:r>
              <w:rPr>
                <w:sz w:val="20"/>
                <w:szCs w:val="20"/>
              </w:rPr>
              <w:t xml:space="preserve"> CSV into staging table. No business logic.</w:t>
            </w:r>
          </w:p>
        </w:tc>
      </w:tr>
      <w:tr w:rsidR="009C4936" w14:paraId="18C8CE79" w14:textId="77777777">
        <w:tblPrEx>
          <w:tblCellMar>
            <w:top w:w="0" w:type="dxa"/>
            <w:bottom w:w="0" w:type="dxa"/>
          </w:tblCellMar>
        </w:tblPrEx>
        <w:tc>
          <w:tcPr>
            <w:tcW w:w="20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61A65892" w14:textId="77777777" w:rsidR="009C4936" w:rsidRDefault="00000000">
            <w:r>
              <w:rPr>
                <w:b/>
                <w:bCs/>
                <w:sz w:val="20"/>
                <w:szCs w:val="20"/>
              </w:rPr>
              <w:t>Warehouse</w:t>
            </w:r>
          </w:p>
        </w:tc>
        <w:tc>
          <w:tcPr>
            <w:tcW w:w="30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45A0D113" w14:textId="77777777" w:rsidR="009C4936" w:rsidRDefault="00000000">
            <w:r>
              <w:rPr>
                <w:sz w:val="20"/>
                <w:szCs w:val="20"/>
              </w:rPr>
              <w:t>MySQL — Local Server</w:t>
            </w:r>
          </w:p>
        </w:tc>
        <w:tc>
          <w:tcPr>
            <w:tcW w:w="43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45819F4B" w14:textId="77777777" w:rsidR="009C4936" w:rsidRDefault="00000000">
            <w:r>
              <w:rPr>
                <w:sz w:val="20"/>
                <w:szCs w:val="20"/>
              </w:rPr>
              <w:t>All KPI logic, scoring, cost calculation, misallocation detection, views.</w:t>
            </w:r>
          </w:p>
        </w:tc>
      </w:tr>
      <w:tr w:rsidR="009C4936" w14:paraId="066ACE8B" w14:textId="77777777">
        <w:tblPrEx>
          <w:tblCellMar>
            <w:top w:w="0" w:type="dxa"/>
            <w:bottom w:w="0" w:type="dxa"/>
          </w:tblCellMar>
        </w:tblPrEx>
        <w:tc>
          <w:tcPr>
            <w:tcW w:w="20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6AA5C3B5" w14:textId="77777777" w:rsidR="009C4936" w:rsidRDefault="00000000">
            <w:r>
              <w:rPr>
                <w:b/>
                <w:bCs/>
                <w:sz w:val="20"/>
                <w:szCs w:val="20"/>
              </w:rPr>
              <w:t>Inspection</w:t>
            </w:r>
          </w:p>
        </w:tc>
        <w:tc>
          <w:tcPr>
            <w:tcW w:w="30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7451E917" w14:textId="77777777" w:rsidR="009C4936" w:rsidRDefault="00000000">
            <w:r>
              <w:rPr>
                <w:sz w:val="20"/>
                <w:szCs w:val="20"/>
              </w:rPr>
              <w:t>MySQL Workbench</w:t>
            </w:r>
          </w:p>
        </w:tc>
        <w:tc>
          <w:tcPr>
            <w:tcW w:w="43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05681E9B" w14:textId="77777777" w:rsidR="009C4936" w:rsidRDefault="00000000">
            <w:r>
              <w:rPr>
                <w:sz w:val="20"/>
                <w:szCs w:val="20"/>
              </w:rPr>
              <w:t>Schema validation, query execution, data integrity checks.</w:t>
            </w:r>
          </w:p>
        </w:tc>
      </w:tr>
      <w:tr w:rsidR="009C4936" w14:paraId="3E6630F7" w14:textId="77777777">
        <w:tblPrEx>
          <w:tblCellMar>
            <w:top w:w="0" w:type="dxa"/>
            <w:bottom w:w="0" w:type="dxa"/>
          </w:tblCellMar>
        </w:tblPrEx>
        <w:tc>
          <w:tcPr>
            <w:tcW w:w="20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4A8260BE" w14:textId="77777777" w:rsidR="009C4936" w:rsidRDefault="00000000">
            <w:r>
              <w:rPr>
                <w:b/>
                <w:bCs/>
                <w:sz w:val="20"/>
                <w:szCs w:val="20"/>
              </w:rPr>
              <w:t>Visualization</w:t>
            </w:r>
          </w:p>
        </w:tc>
        <w:tc>
          <w:tcPr>
            <w:tcW w:w="30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06C64659" w14:textId="77777777" w:rsidR="009C4936" w:rsidRDefault="00000000">
            <w:r>
              <w:rPr>
                <w:sz w:val="20"/>
                <w:szCs w:val="20"/>
              </w:rPr>
              <w:t>Power BI</w:t>
            </w:r>
          </w:p>
        </w:tc>
        <w:tc>
          <w:tcPr>
            <w:tcW w:w="43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7F857854" w14:textId="77777777" w:rsidR="009C4936" w:rsidRDefault="00000000">
            <w:r>
              <w:rPr>
                <w:sz w:val="20"/>
                <w:szCs w:val="20"/>
              </w:rPr>
              <w:t>6-dashboard executive layer. Zero transformation — reads directly from views.</w:t>
            </w:r>
          </w:p>
        </w:tc>
      </w:tr>
    </w:tbl>
    <w:p w14:paraId="717156B5" w14:textId="77777777" w:rsidR="009C4936" w:rsidRDefault="009C4936">
      <w:pPr>
        <w:spacing w:before="140"/>
      </w:pPr>
    </w:p>
    <w:p w14:paraId="24185BEF" w14:textId="77777777" w:rsidR="009C4936" w:rsidRDefault="00000000">
      <w:pPr>
        <w:spacing w:before="80" w:after="120" w:line="276" w:lineRule="auto"/>
        <w:jc w:val="both"/>
      </w:pPr>
      <w:r>
        <w:t>Power BI connects directly to the SQL view layer. It performs zero data transformation. This keeps the analytical logic auditable, version-controlled, and independent of the visualization tool.</w:t>
      </w:r>
    </w:p>
    <w:p w14:paraId="558BB52B" w14:textId="77777777" w:rsidR="009C4936" w:rsidRDefault="009C4936">
      <w:pPr>
        <w:spacing w:before="120"/>
      </w:pPr>
    </w:p>
    <w:p w14:paraId="6BB20830" w14:textId="77777777" w:rsidR="009C4936" w:rsidRDefault="00000000">
      <w:pPr>
        <w:pStyle w:val="Heading1"/>
        <w:spacing w:before="340" w:after="120"/>
      </w:pPr>
      <w:r>
        <w:rPr>
          <w:b/>
          <w:bCs/>
          <w:color w:val="1B3A6B"/>
          <w:sz w:val="28"/>
          <w:szCs w:val="28"/>
        </w:rPr>
        <w:t>4. Pipeline Overview</w:t>
      </w:r>
    </w:p>
    <w:p w14:paraId="27F103EA" w14:textId="77777777" w:rsidR="009C4936" w:rsidRDefault="00000000">
      <w:pPr>
        <w:spacing w:before="80" w:after="120" w:line="276" w:lineRule="auto"/>
        <w:jc w:val="both"/>
      </w:pPr>
      <w:r>
        <w:t>The pipeline moves in one direction — raw data to executive insight. Each stage has a single responsibility. No stage performs work that belongs to the next.</w:t>
      </w:r>
    </w:p>
    <w:p w14:paraId="642FDFD4" w14:textId="77777777" w:rsidR="009C4936" w:rsidRDefault="009C493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60"/>
        <w:gridCol w:w="4200"/>
      </w:tblGrid>
      <w:tr w:rsidR="009C4936" w14:paraId="7AA62E7B" w14:textId="77777777">
        <w:tblPrEx>
          <w:tblCellMar>
            <w:top w:w="0" w:type="dxa"/>
            <w:bottom w:w="0" w:type="dxa"/>
          </w:tblCellMar>
        </w:tblPrEx>
        <w:tc>
          <w:tcPr>
            <w:tcW w:w="30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1BAAAE38" w14:textId="77777777" w:rsidR="009C4936" w:rsidRDefault="00000000">
            <w:r>
              <w:rPr>
                <w:b/>
                <w:bCs/>
                <w:color w:val="FFFFFF"/>
                <w:sz w:val="20"/>
                <w:szCs w:val="20"/>
              </w:rPr>
              <w:t>Stage</w:t>
            </w:r>
          </w:p>
        </w:tc>
        <w:tc>
          <w:tcPr>
            <w:tcW w:w="21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7DEA6AE3" w14:textId="77777777" w:rsidR="009C4936" w:rsidRDefault="00000000">
            <w:r>
              <w:rPr>
                <w:b/>
                <w:bCs/>
                <w:color w:val="FFFFFF"/>
                <w:sz w:val="20"/>
                <w:szCs w:val="20"/>
              </w:rPr>
              <w:t>Output</w:t>
            </w:r>
          </w:p>
        </w:tc>
        <w:tc>
          <w:tcPr>
            <w:tcW w:w="42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251390C9" w14:textId="77777777" w:rsidR="009C4936" w:rsidRDefault="00000000">
            <w:r>
              <w:rPr>
                <w:b/>
                <w:bCs/>
                <w:color w:val="FFFFFF"/>
                <w:sz w:val="20"/>
                <w:szCs w:val="20"/>
              </w:rPr>
              <w:t>What It Does</w:t>
            </w:r>
          </w:p>
        </w:tc>
      </w:tr>
      <w:tr w:rsidR="009C4936" w14:paraId="124B005B" w14:textId="77777777">
        <w:tblPrEx>
          <w:tblCellMar>
            <w:top w:w="0" w:type="dxa"/>
            <w:bottom w:w="0" w:type="dxa"/>
          </w:tblCellMar>
        </w:tblPrEx>
        <w:tc>
          <w:tcPr>
            <w:tcW w:w="30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54521F1E" w14:textId="77777777" w:rsidR="009C4936" w:rsidRDefault="00000000">
            <w:r>
              <w:rPr>
                <w:b/>
                <w:bCs/>
                <w:sz w:val="20"/>
                <w:szCs w:val="20"/>
              </w:rPr>
              <w:t>Python Load</w:t>
            </w:r>
          </w:p>
        </w:tc>
        <w:tc>
          <w:tcPr>
            <w:tcW w:w="21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6D80943E" w14:textId="77777777" w:rsidR="009C4936" w:rsidRDefault="00000000">
            <w:r>
              <w:rPr>
                <w:sz w:val="20"/>
                <w:szCs w:val="20"/>
              </w:rPr>
              <w:t>Staging Table</w:t>
            </w:r>
          </w:p>
        </w:tc>
        <w:tc>
          <w:tcPr>
            <w:tcW w:w="42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78C40043" w14:textId="77777777" w:rsidR="009C4936" w:rsidRDefault="00000000">
            <w:r>
              <w:rPr>
                <w:sz w:val="20"/>
                <w:szCs w:val="20"/>
              </w:rPr>
              <w:t xml:space="preserve">5,034 raw </w:t>
            </w:r>
            <w:proofErr w:type="spellStart"/>
            <w:r>
              <w:rPr>
                <w:sz w:val="20"/>
                <w:szCs w:val="20"/>
              </w:rPr>
              <w:t>PhonePe</w:t>
            </w:r>
            <w:proofErr w:type="spellEnd"/>
            <w:r>
              <w:rPr>
                <w:sz w:val="20"/>
                <w:szCs w:val="20"/>
              </w:rPr>
              <w:t xml:space="preserve"> rows into </w:t>
            </w:r>
            <w:proofErr w:type="spellStart"/>
            <w:r>
              <w:rPr>
                <w:sz w:val="20"/>
                <w:szCs w:val="20"/>
              </w:rPr>
              <w:t>phonepe_transactions_staging</w:t>
            </w:r>
            <w:proofErr w:type="spellEnd"/>
            <w:r>
              <w:rPr>
                <w:sz w:val="20"/>
                <w:szCs w:val="20"/>
              </w:rPr>
              <w:t>.</w:t>
            </w:r>
          </w:p>
        </w:tc>
      </w:tr>
      <w:tr w:rsidR="009C4936" w14:paraId="5D8FBD32" w14:textId="77777777">
        <w:tblPrEx>
          <w:tblCellMar>
            <w:top w:w="0" w:type="dxa"/>
            <w:bottom w:w="0" w:type="dxa"/>
          </w:tblCellMar>
        </w:tblPrEx>
        <w:tc>
          <w:tcPr>
            <w:tcW w:w="30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625959D4" w14:textId="77777777" w:rsidR="009C4936" w:rsidRDefault="00000000">
            <w:r>
              <w:rPr>
                <w:b/>
                <w:bCs/>
                <w:sz w:val="20"/>
                <w:szCs w:val="20"/>
              </w:rPr>
              <w:t>KPI Computation</w:t>
            </w:r>
          </w:p>
        </w:tc>
        <w:tc>
          <w:tcPr>
            <w:tcW w:w="21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18D811C1" w14:textId="77777777" w:rsidR="009C4936" w:rsidRDefault="00000000">
            <w:proofErr w:type="spellStart"/>
            <w:r>
              <w:rPr>
                <w:sz w:val="20"/>
                <w:szCs w:val="20"/>
              </w:rPr>
              <w:t>state_kpi_summary</w:t>
            </w:r>
            <w:proofErr w:type="spellEnd"/>
          </w:p>
        </w:tc>
        <w:tc>
          <w:tcPr>
            <w:tcW w:w="42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342DD6A1" w14:textId="77777777" w:rsidR="009C4936" w:rsidRDefault="00000000">
            <w:r>
              <w:rPr>
                <w:sz w:val="20"/>
                <w:szCs w:val="20"/>
              </w:rPr>
              <w:t>252 state-year KPI rows with YoY growth and anomaly flags.</w:t>
            </w:r>
          </w:p>
        </w:tc>
      </w:tr>
      <w:tr w:rsidR="009C4936" w14:paraId="19300601" w14:textId="77777777">
        <w:tblPrEx>
          <w:tblCellMar>
            <w:top w:w="0" w:type="dxa"/>
            <w:bottom w:w="0" w:type="dxa"/>
          </w:tblCellMar>
        </w:tblPrEx>
        <w:tc>
          <w:tcPr>
            <w:tcW w:w="30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6E5A17C7" w14:textId="77777777" w:rsidR="009C4936" w:rsidRDefault="00000000">
            <w:r>
              <w:rPr>
                <w:b/>
                <w:bCs/>
                <w:sz w:val="20"/>
                <w:szCs w:val="20"/>
              </w:rPr>
              <w:t>Seed Layer</w:t>
            </w:r>
          </w:p>
        </w:tc>
        <w:tc>
          <w:tcPr>
            <w:tcW w:w="21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114F2DB9" w14:textId="77777777" w:rsidR="009C4936" w:rsidRDefault="00000000">
            <w:r>
              <w:rPr>
                <w:sz w:val="20"/>
                <w:szCs w:val="20"/>
              </w:rPr>
              <w:t>prompt + model tables</w:t>
            </w:r>
          </w:p>
        </w:tc>
        <w:tc>
          <w:tcPr>
            <w:tcW w:w="42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2599D293" w14:textId="77777777" w:rsidR="009C4936" w:rsidRDefault="00000000">
            <w:r>
              <w:rPr>
                <w:sz w:val="20"/>
                <w:szCs w:val="20"/>
              </w:rPr>
              <w:t>6 prompt versions, 3 governance tiers, 10 models, 5 providers.</w:t>
            </w:r>
          </w:p>
        </w:tc>
      </w:tr>
      <w:tr w:rsidR="009C4936" w14:paraId="0A8B6FEE" w14:textId="77777777">
        <w:tblPrEx>
          <w:tblCellMar>
            <w:top w:w="0" w:type="dxa"/>
            <w:bottom w:w="0" w:type="dxa"/>
          </w:tblCellMar>
        </w:tblPrEx>
        <w:tc>
          <w:tcPr>
            <w:tcW w:w="30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62631B78" w14:textId="77777777" w:rsidR="009C4936" w:rsidRDefault="00000000">
            <w:r>
              <w:rPr>
                <w:b/>
                <w:bCs/>
                <w:sz w:val="20"/>
                <w:szCs w:val="20"/>
              </w:rPr>
              <w:t>Experiment Generation</w:t>
            </w:r>
          </w:p>
        </w:tc>
        <w:tc>
          <w:tcPr>
            <w:tcW w:w="21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0F21B2E6" w14:textId="77777777" w:rsidR="009C4936" w:rsidRDefault="00000000">
            <w:proofErr w:type="spellStart"/>
            <w:r>
              <w:rPr>
                <w:sz w:val="20"/>
                <w:szCs w:val="20"/>
              </w:rPr>
              <w:t>experiment_runs</w:t>
            </w:r>
            <w:proofErr w:type="spellEnd"/>
          </w:p>
        </w:tc>
        <w:tc>
          <w:tcPr>
            <w:tcW w:w="42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1AD8CF0A" w14:textId="77777777" w:rsidR="009C4936" w:rsidRDefault="00000000">
            <w:r>
              <w:rPr>
                <w:sz w:val="20"/>
                <w:szCs w:val="20"/>
              </w:rPr>
              <w:t xml:space="preserve">5,388 runs. Deterministic 70/30 compliant-misallocated split via </w:t>
            </w:r>
            <w:proofErr w:type="gramStart"/>
            <w:r>
              <w:rPr>
                <w:sz w:val="20"/>
                <w:szCs w:val="20"/>
              </w:rPr>
              <w:t>MOD(</w:t>
            </w:r>
            <w:proofErr w:type="gramEnd"/>
            <w:r>
              <w:rPr>
                <w:sz w:val="20"/>
                <w:szCs w:val="20"/>
              </w:rPr>
              <w:t>).</w:t>
            </w:r>
          </w:p>
        </w:tc>
      </w:tr>
      <w:tr w:rsidR="009C4936" w14:paraId="280624E6" w14:textId="77777777">
        <w:tblPrEx>
          <w:tblCellMar>
            <w:top w:w="0" w:type="dxa"/>
            <w:bottom w:w="0" w:type="dxa"/>
          </w:tblCellMar>
        </w:tblPrEx>
        <w:tc>
          <w:tcPr>
            <w:tcW w:w="30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2251A0E7" w14:textId="77777777" w:rsidR="009C4936" w:rsidRDefault="00000000">
            <w:r>
              <w:rPr>
                <w:b/>
                <w:bCs/>
                <w:sz w:val="20"/>
                <w:szCs w:val="20"/>
              </w:rPr>
              <w:t>Governance Scoring</w:t>
            </w:r>
          </w:p>
        </w:tc>
        <w:tc>
          <w:tcPr>
            <w:tcW w:w="21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30969489" w14:textId="77777777" w:rsidR="009C4936" w:rsidRDefault="00000000">
            <w:proofErr w:type="spellStart"/>
            <w:r>
              <w:rPr>
                <w:sz w:val="20"/>
                <w:szCs w:val="20"/>
              </w:rPr>
              <w:t>evaluation_results</w:t>
            </w:r>
            <w:proofErr w:type="spellEnd"/>
          </w:p>
        </w:tc>
        <w:tc>
          <w:tcPr>
            <w:tcW w:w="42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1BCD24B6" w14:textId="77777777" w:rsidR="009C4936" w:rsidRDefault="00000000">
            <w:r>
              <w:rPr>
                <w:sz w:val="20"/>
                <w:szCs w:val="20"/>
              </w:rPr>
              <w:t>Tier-weighted composite: accuracy, structural quality, hallucination risk.</w:t>
            </w:r>
          </w:p>
        </w:tc>
      </w:tr>
      <w:tr w:rsidR="009C4936" w14:paraId="0923338E" w14:textId="77777777">
        <w:tblPrEx>
          <w:tblCellMar>
            <w:top w:w="0" w:type="dxa"/>
            <w:bottom w:w="0" w:type="dxa"/>
          </w:tblCellMar>
        </w:tblPrEx>
        <w:tc>
          <w:tcPr>
            <w:tcW w:w="30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0EC249AC" w14:textId="77777777" w:rsidR="009C4936" w:rsidRDefault="00000000">
            <w:r>
              <w:rPr>
                <w:b/>
                <w:bCs/>
                <w:sz w:val="20"/>
                <w:szCs w:val="20"/>
              </w:rPr>
              <w:t>Cost Analysis</w:t>
            </w:r>
          </w:p>
        </w:tc>
        <w:tc>
          <w:tcPr>
            <w:tcW w:w="21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4E911537" w14:textId="77777777" w:rsidR="009C4936" w:rsidRDefault="00000000">
            <w:proofErr w:type="spellStart"/>
            <w:r>
              <w:rPr>
                <w:sz w:val="20"/>
                <w:szCs w:val="20"/>
              </w:rPr>
              <w:t>cost_analysis</w:t>
            </w:r>
            <w:proofErr w:type="spellEnd"/>
          </w:p>
        </w:tc>
        <w:tc>
          <w:tcPr>
            <w:tcW w:w="42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2EE7AEA1" w14:textId="77777777" w:rsidR="009C4936" w:rsidRDefault="00000000">
            <w:r>
              <w:rPr>
                <w:sz w:val="20"/>
                <w:szCs w:val="20"/>
              </w:rPr>
              <w:t>Per-run cost using real 2026 published pricing. Token-level calculation.</w:t>
            </w:r>
          </w:p>
        </w:tc>
      </w:tr>
      <w:tr w:rsidR="009C4936" w14:paraId="7004BC24" w14:textId="77777777">
        <w:tblPrEx>
          <w:tblCellMar>
            <w:top w:w="0" w:type="dxa"/>
            <w:bottom w:w="0" w:type="dxa"/>
          </w:tblCellMar>
        </w:tblPrEx>
        <w:tc>
          <w:tcPr>
            <w:tcW w:w="30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267D72A1" w14:textId="77777777" w:rsidR="009C4936" w:rsidRDefault="00000000">
            <w:r>
              <w:rPr>
                <w:b/>
                <w:bCs/>
                <w:sz w:val="20"/>
                <w:szCs w:val="20"/>
              </w:rPr>
              <w:t>View Layer</w:t>
            </w:r>
          </w:p>
        </w:tc>
        <w:tc>
          <w:tcPr>
            <w:tcW w:w="21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35A34C20" w14:textId="77777777" w:rsidR="009C4936" w:rsidRDefault="00000000">
            <w:r>
              <w:rPr>
                <w:sz w:val="20"/>
                <w:szCs w:val="20"/>
              </w:rPr>
              <w:t>11 SQL Views</w:t>
            </w:r>
          </w:p>
        </w:tc>
        <w:tc>
          <w:tcPr>
            <w:tcW w:w="42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54AC45F5" w14:textId="77777777" w:rsidR="009C4936" w:rsidRDefault="00000000">
            <w:r>
              <w:rPr>
                <w:sz w:val="20"/>
                <w:szCs w:val="20"/>
              </w:rPr>
              <w:t>Executive benchmarking layer. Consumed directly by Power BI.</w:t>
            </w:r>
          </w:p>
        </w:tc>
      </w:tr>
    </w:tbl>
    <w:p w14:paraId="00B29FC0" w14:textId="77777777" w:rsidR="009C4936" w:rsidRDefault="009C4936">
      <w:pPr>
        <w:spacing w:before="120"/>
      </w:pPr>
    </w:p>
    <w:p w14:paraId="20C62AD9" w14:textId="77777777" w:rsidR="00044AA3" w:rsidRDefault="00044AA3">
      <w:pPr>
        <w:spacing w:before="120"/>
      </w:pPr>
    </w:p>
    <w:p w14:paraId="5FA7472A" w14:textId="77777777" w:rsidR="009C4936" w:rsidRDefault="00000000">
      <w:pPr>
        <w:pStyle w:val="Heading1"/>
        <w:spacing w:before="340" w:after="120"/>
      </w:pPr>
      <w:r>
        <w:rPr>
          <w:b/>
          <w:bCs/>
          <w:color w:val="1B3A6B"/>
          <w:sz w:val="28"/>
          <w:szCs w:val="28"/>
        </w:rPr>
        <w:lastRenderedPageBreak/>
        <w:t>5.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9C4936" w14:paraId="1A8A428D" w14:textId="77777777">
        <w:tblPrEx>
          <w:tblCellMar>
            <w:top w:w="0" w:type="dxa"/>
            <w:bottom w:w="0" w:type="dxa"/>
          </w:tblCellMar>
        </w:tblPrEx>
        <w:tc>
          <w:tcPr>
            <w:tcW w:w="36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2F61FBDD" w14:textId="77777777" w:rsidR="009C4936" w:rsidRDefault="00000000">
            <w:r>
              <w:rPr>
                <w:b/>
                <w:bCs/>
                <w:color w:val="FFFFFF"/>
                <w:sz w:val="20"/>
                <w:szCs w:val="20"/>
              </w:rPr>
              <w:t>Dimension</w:t>
            </w:r>
          </w:p>
        </w:tc>
        <w:tc>
          <w:tcPr>
            <w:tcW w:w="57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5D0817EA" w14:textId="77777777" w:rsidR="009C4936" w:rsidRDefault="00000000">
            <w:r>
              <w:rPr>
                <w:b/>
                <w:bCs/>
                <w:color w:val="FFFFFF"/>
                <w:sz w:val="20"/>
                <w:szCs w:val="20"/>
              </w:rPr>
              <w:t>Detail</w:t>
            </w:r>
          </w:p>
        </w:tc>
      </w:tr>
      <w:tr w:rsidR="009C4936" w14:paraId="0E2F57EC" w14:textId="77777777">
        <w:tblPrEx>
          <w:tblCellMar>
            <w:top w:w="0" w:type="dxa"/>
            <w:bottom w:w="0" w:type="dxa"/>
          </w:tblCellMar>
        </w:tblPrEx>
        <w:tc>
          <w:tcPr>
            <w:tcW w:w="36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4527ED32" w14:textId="77777777" w:rsidR="009C4936" w:rsidRDefault="00000000">
            <w:r>
              <w:rPr>
                <w:sz w:val="20"/>
                <w:szCs w:val="20"/>
              </w:rPr>
              <w:t>Source Data</w:t>
            </w:r>
          </w:p>
        </w:tc>
        <w:tc>
          <w:tcPr>
            <w:tcW w:w="57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27C36611" w14:textId="77777777" w:rsidR="009C4936" w:rsidRDefault="00000000">
            <w:proofErr w:type="spellStart"/>
            <w:r>
              <w:rPr>
                <w:sz w:val="20"/>
                <w:szCs w:val="20"/>
              </w:rPr>
              <w:t>PhonePe</w:t>
            </w:r>
            <w:proofErr w:type="spellEnd"/>
            <w:r>
              <w:rPr>
                <w:sz w:val="20"/>
                <w:szCs w:val="20"/>
              </w:rPr>
              <w:t xml:space="preserve"> Pulse — Open Data 2018 to 2024</w:t>
            </w:r>
          </w:p>
        </w:tc>
      </w:tr>
      <w:tr w:rsidR="009C4936" w14:paraId="2A4023A4" w14:textId="77777777">
        <w:tblPrEx>
          <w:tblCellMar>
            <w:top w:w="0" w:type="dxa"/>
            <w:bottom w:w="0" w:type="dxa"/>
          </w:tblCellMar>
        </w:tblPrEx>
        <w:tc>
          <w:tcPr>
            <w:tcW w:w="36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494C9F9F" w14:textId="77777777" w:rsidR="009C4936" w:rsidRDefault="00000000">
            <w:r>
              <w:rPr>
                <w:sz w:val="20"/>
                <w:szCs w:val="20"/>
              </w:rPr>
              <w:t>Granularity</w:t>
            </w:r>
          </w:p>
        </w:tc>
        <w:tc>
          <w:tcPr>
            <w:tcW w:w="57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1B947B05" w14:textId="77777777" w:rsidR="009C4936" w:rsidRDefault="00000000">
            <w:r>
              <w:rPr>
                <w:sz w:val="20"/>
                <w:szCs w:val="20"/>
              </w:rPr>
              <w:t>State and Regional Level — Quarterly</w:t>
            </w:r>
          </w:p>
        </w:tc>
      </w:tr>
      <w:tr w:rsidR="009C4936" w14:paraId="476722CA" w14:textId="77777777">
        <w:tblPrEx>
          <w:tblCellMar>
            <w:top w:w="0" w:type="dxa"/>
            <w:bottom w:w="0" w:type="dxa"/>
          </w:tblCellMar>
        </w:tblPrEx>
        <w:tc>
          <w:tcPr>
            <w:tcW w:w="36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79A42696" w14:textId="77777777" w:rsidR="009C4936" w:rsidRDefault="00000000">
            <w:r>
              <w:rPr>
                <w:sz w:val="20"/>
                <w:szCs w:val="20"/>
              </w:rPr>
              <w:t>Providers</w:t>
            </w:r>
          </w:p>
        </w:tc>
        <w:tc>
          <w:tcPr>
            <w:tcW w:w="57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29694ACB" w14:textId="77777777" w:rsidR="009C4936" w:rsidRDefault="00000000">
            <w:r>
              <w:rPr>
                <w:sz w:val="20"/>
                <w:szCs w:val="20"/>
              </w:rPr>
              <w:t>OpenAI, Anthropic, Google, Cohere, Mistral</w:t>
            </w:r>
          </w:p>
        </w:tc>
      </w:tr>
      <w:tr w:rsidR="009C4936" w14:paraId="27AC248E" w14:textId="77777777">
        <w:tblPrEx>
          <w:tblCellMar>
            <w:top w:w="0" w:type="dxa"/>
            <w:bottom w:w="0" w:type="dxa"/>
          </w:tblCellMar>
        </w:tblPrEx>
        <w:tc>
          <w:tcPr>
            <w:tcW w:w="36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5AAE7F71" w14:textId="77777777" w:rsidR="009C4936" w:rsidRDefault="00000000">
            <w:r>
              <w:rPr>
                <w:sz w:val="20"/>
                <w:szCs w:val="20"/>
              </w:rPr>
              <w:t>Models</w:t>
            </w:r>
          </w:p>
        </w:tc>
        <w:tc>
          <w:tcPr>
            <w:tcW w:w="57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735BE6A4" w14:textId="77777777" w:rsidR="009C4936" w:rsidRDefault="00000000">
            <w:r>
              <w:rPr>
                <w:sz w:val="20"/>
                <w:szCs w:val="20"/>
              </w:rPr>
              <w:t>10 models — lightweight, balanced, enterprise tiers</w:t>
            </w:r>
          </w:p>
        </w:tc>
      </w:tr>
      <w:tr w:rsidR="009C4936" w14:paraId="48CDBC02" w14:textId="77777777">
        <w:tblPrEx>
          <w:tblCellMar>
            <w:top w:w="0" w:type="dxa"/>
            <w:bottom w:w="0" w:type="dxa"/>
          </w:tblCellMar>
        </w:tblPrEx>
        <w:tc>
          <w:tcPr>
            <w:tcW w:w="36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1203228C" w14:textId="77777777" w:rsidR="009C4936" w:rsidRDefault="00000000">
            <w:r>
              <w:rPr>
                <w:sz w:val="20"/>
                <w:szCs w:val="20"/>
              </w:rPr>
              <w:t>Experiment Runs</w:t>
            </w:r>
          </w:p>
        </w:tc>
        <w:tc>
          <w:tcPr>
            <w:tcW w:w="57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1D5108DD" w14:textId="77777777" w:rsidR="009C4936" w:rsidRDefault="00000000">
            <w:r>
              <w:rPr>
                <w:sz w:val="20"/>
                <w:szCs w:val="20"/>
              </w:rPr>
              <w:t>5,388 — 70% compliant, 30% misallocated (deterministic)</w:t>
            </w:r>
          </w:p>
        </w:tc>
      </w:tr>
      <w:tr w:rsidR="009C4936" w14:paraId="1DFC9A7E" w14:textId="77777777">
        <w:tblPrEx>
          <w:tblCellMar>
            <w:top w:w="0" w:type="dxa"/>
            <w:bottom w:w="0" w:type="dxa"/>
          </w:tblCellMar>
        </w:tblPrEx>
        <w:tc>
          <w:tcPr>
            <w:tcW w:w="36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17B27BA2" w14:textId="77777777" w:rsidR="009C4936" w:rsidRDefault="00000000">
            <w:r>
              <w:rPr>
                <w:sz w:val="20"/>
                <w:szCs w:val="20"/>
              </w:rPr>
              <w:t>Governance Workloads</w:t>
            </w:r>
          </w:p>
        </w:tc>
        <w:tc>
          <w:tcPr>
            <w:tcW w:w="57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353DC6B3" w14:textId="77777777" w:rsidR="009C4936" w:rsidRDefault="00000000">
            <w:r>
              <w:rPr>
                <w:sz w:val="20"/>
                <w:szCs w:val="20"/>
              </w:rPr>
              <w:t>Exploratory, Analytical, Compliance Grade</w:t>
            </w:r>
          </w:p>
        </w:tc>
      </w:tr>
      <w:tr w:rsidR="009C4936" w14:paraId="419620EC" w14:textId="77777777">
        <w:tblPrEx>
          <w:tblCellMar>
            <w:top w:w="0" w:type="dxa"/>
            <w:bottom w:w="0" w:type="dxa"/>
          </w:tblCellMar>
        </w:tblPrEx>
        <w:tc>
          <w:tcPr>
            <w:tcW w:w="36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7EBFA8F7" w14:textId="77777777" w:rsidR="009C4936" w:rsidRDefault="00000000">
            <w:r>
              <w:rPr>
                <w:sz w:val="20"/>
                <w:szCs w:val="20"/>
              </w:rPr>
              <w:t>Pricing Data</w:t>
            </w:r>
          </w:p>
        </w:tc>
        <w:tc>
          <w:tcPr>
            <w:tcW w:w="57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19C1F9BA" w14:textId="77777777" w:rsidR="009C4936" w:rsidRDefault="00000000">
            <w:r>
              <w:rPr>
                <w:sz w:val="20"/>
                <w:szCs w:val="20"/>
              </w:rPr>
              <w:t>Real published rates — 2026 base pricing period</w:t>
            </w:r>
          </w:p>
        </w:tc>
      </w:tr>
      <w:tr w:rsidR="009C4936" w14:paraId="4D40C727" w14:textId="77777777">
        <w:tblPrEx>
          <w:tblCellMar>
            <w:top w:w="0" w:type="dxa"/>
            <w:bottom w:w="0" w:type="dxa"/>
          </w:tblCellMar>
        </w:tblPrEx>
        <w:tc>
          <w:tcPr>
            <w:tcW w:w="36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3779DB19" w14:textId="77777777" w:rsidR="009C4936" w:rsidRDefault="00000000">
            <w:r>
              <w:rPr>
                <w:sz w:val="20"/>
                <w:szCs w:val="20"/>
              </w:rPr>
              <w:t>Analytics Type</w:t>
            </w:r>
          </w:p>
        </w:tc>
        <w:tc>
          <w:tcPr>
            <w:tcW w:w="57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58D70DFF" w14:textId="77777777" w:rsidR="009C4936" w:rsidRDefault="00000000">
            <w:r>
              <w:rPr>
                <w:sz w:val="20"/>
                <w:szCs w:val="20"/>
              </w:rPr>
              <w:t xml:space="preserve">Descriptive and Diagnostic — no predictive </w:t>
            </w:r>
            <w:proofErr w:type="spellStart"/>
            <w:r>
              <w:rPr>
                <w:sz w:val="20"/>
                <w:szCs w:val="20"/>
              </w:rPr>
              <w:t>modeling</w:t>
            </w:r>
            <w:proofErr w:type="spellEnd"/>
          </w:p>
        </w:tc>
      </w:tr>
    </w:tbl>
    <w:p w14:paraId="49250300" w14:textId="77777777" w:rsidR="009C4936" w:rsidRDefault="009C4936">
      <w:pPr>
        <w:spacing w:before="140"/>
      </w:pPr>
    </w:p>
    <w:p w14:paraId="2BF0FD0E" w14:textId="77777777" w:rsidR="009C4936" w:rsidRDefault="00000000">
      <w:pPr>
        <w:spacing w:before="80" w:after="120" w:line="276" w:lineRule="auto"/>
        <w:jc w:val="both"/>
      </w:pPr>
      <w:r>
        <w:t>The framework is extensible — new providers, models, or workload types can be added without modifying the schema.</w:t>
      </w:r>
    </w:p>
    <w:p w14:paraId="5728C4B2" w14:textId="77777777" w:rsidR="009C4936" w:rsidRDefault="009C4936">
      <w:pPr>
        <w:spacing w:before="120"/>
      </w:pPr>
    </w:p>
    <w:p w14:paraId="520ECCDC" w14:textId="77777777" w:rsidR="009C4936" w:rsidRDefault="00000000">
      <w:pPr>
        <w:pStyle w:val="Heading1"/>
        <w:spacing w:before="340" w:after="120"/>
      </w:pPr>
      <w:r>
        <w:rPr>
          <w:b/>
          <w:bCs/>
          <w:color w:val="1B3A6B"/>
          <w:sz w:val="28"/>
          <w:szCs w:val="28"/>
        </w:rPr>
        <w:t>6. Project Objectives</w:t>
      </w:r>
    </w:p>
    <w:p w14:paraId="1CD5F8DA" w14:textId="77777777" w:rsidR="009C4936" w:rsidRDefault="00000000">
      <w:pPr>
        <w:pStyle w:val="ListParagraph"/>
        <w:numPr>
          <w:ilvl w:val="0"/>
          <w:numId w:val="2"/>
        </w:numPr>
        <w:spacing w:before="60" w:after="80" w:line="260" w:lineRule="auto"/>
      </w:pPr>
      <w:r>
        <w:rPr>
          <w:b/>
          <w:bCs/>
          <w:color w:val="1B3A6B"/>
        </w:rPr>
        <w:t>Build a governed SQL pipeline</w:t>
      </w:r>
      <w:r>
        <w:t xml:space="preserve"> — Design and implement a full analytics engineering stack from raw ingestion to executive view layer using MySQL as the single source of truth.</w:t>
      </w:r>
    </w:p>
    <w:p w14:paraId="57B8905F" w14:textId="77777777" w:rsidR="009C4936" w:rsidRDefault="00000000">
      <w:pPr>
        <w:pStyle w:val="ListParagraph"/>
        <w:numPr>
          <w:ilvl w:val="0"/>
          <w:numId w:val="2"/>
        </w:numPr>
        <w:spacing w:before="60" w:after="80" w:line="260" w:lineRule="auto"/>
      </w:pPr>
      <w:r>
        <w:rPr>
          <w:b/>
          <w:bCs/>
          <w:color w:val="1B3A6B"/>
        </w:rPr>
        <w:t>Benchmark governance quality</w:t>
      </w:r>
      <w:r>
        <w:t xml:space="preserve"> — Score LLM output accuracy, structural compliance, and hallucination risk across 5 providers and 3 tiers using a tier-weighted composite index.</w:t>
      </w:r>
    </w:p>
    <w:p w14:paraId="5E8769CC" w14:textId="77777777" w:rsidR="009C4936" w:rsidRDefault="00000000">
      <w:pPr>
        <w:pStyle w:val="ListParagraph"/>
        <w:numPr>
          <w:ilvl w:val="0"/>
          <w:numId w:val="2"/>
        </w:numPr>
        <w:spacing w:before="60" w:after="80" w:line="260" w:lineRule="auto"/>
      </w:pPr>
      <w:r>
        <w:rPr>
          <w:b/>
          <w:bCs/>
          <w:color w:val="1B3A6B"/>
        </w:rPr>
        <w:t>Quantify cost efficiency</w:t>
      </w:r>
      <w:r>
        <w:t xml:space="preserve"> — Calculate cost per governance point and total cost waste using </w:t>
      </w:r>
      <w:proofErr w:type="gramStart"/>
      <w:r>
        <w:t>real</w:t>
      </w:r>
      <w:proofErr w:type="gramEnd"/>
      <w:r>
        <w:t xml:space="preserve"> published 2026 pricing data across 5,388 experiment runs.</w:t>
      </w:r>
    </w:p>
    <w:p w14:paraId="0BF2966C" w14:textId="77777777" w:rsidR="009C4936" w:rsidRDefault="00000000">
      <w:pPr>
        <w:pStyle w:val="ListParagraph"/>
        <w:numPr>
          <w:ilvl w:val="0"/>
          <w:numId w:val="2"/>
        </w:numPr>
        <w:spacing w:before="60" w:after="80" w:line="260" w:lineRule="auto"/>
      </w:pPr>
      <w:r>
        <w:rPr>
          <w:b/>
          <w:bCs/>
          <w:color w:val="1B3A6B"/>
        </w:rPr>
        <w:t>Detect and measure misallocation</w:t>
      </w:r>
      <w:r>
        <w:t xml:space="preserve"> — Identify systematic tier misallocation using deterministic </w:t>
      </w:r>
      <w:proofErr w:type="gramStart"/>
      <w:r>
        <w:t>MOD(</w:t>
      </w:r>
      <w:proofErr w:type="gramEnd"/>
      <w:r>
        <w:t>) logic — fixed 70/30 compliant-to-misallocated split.</w:t>
      </w:r>
    </w:p>
    <w:p w14:paraId="74816281" w14:textId="77777777" w:rsidR="009C4936" w:rsidRDefault="00000000">
      <w:pPr>
        <w:pStyle w:val="ListParagraph"/>
        <w:numPr>
          <w:ilvl w:val="0"/>
          <w:numId w:val="2"/>
        </w:numPr>
        <w:spacing w:before="60" w:after="80" w:line="260" w:lineRule="auto"/>
      </w:pPr>
      <w:r>
        <w:rPr>
          <w:b/>
          <w:bCs/>
          <w:color w:val="1B3A6B"/>
        </w:rPr>
        <w:t>Deliver actionable recommendations</w:t>
      </w:r>
      <w:r>
        <w:t xml:space="preserve"> — Surface five business decisions a Head of Data or CTO can act on — provider standardization, tier enforcement, risk flagging, cost waste reduction.</w:t>
      </w:r>
    </w:p>
    <w:p w14:paraId="22ACF4B0" w14:textId="77777777" w:rsidR="009C4936" w:rsidRDefault="009C4936">
      <w:pPr>
        <w:spacing w:before="120"/>
      </w:pPr>
    </w:p>
    <w:p w14:paraId="6033C74C" w14:textId="77777777" w:rsidR="009C4936" w:rsidRDefault="00000000">
      <w:pPr>
        <w:pStyle w:val="Heading1"/>
        <w:spacing w:before="340" w:after="120"/>
      </w:pPr>
      <w:r>
        <w:rPr>
          <w:b/>
          <w:bCs/>
          <w:color w:val="1B3A6B"/>
          <w:sz w:val="28"/>
          <w:szCs w:val="28"/>
        </w:rPr>
        <w:t>7. Expected Output</w:t>
      </w:r>
    </w:p>
    <w:p w14:paraId="3D7193C3" w14:textId="77777777" w:rsidR="009C4936" w:rsidRDefault="00000000">
      <w:pPr>
        <w:spacing w:before="80" w:after="120" w:line="276" w:lineRule="auto"/>
        <w:jc w:val="both"/>
      </w:pPr>
      <w:r>
        <w:t>The deliverable is a six-dashboard Power BI suite connected to an 11-view SQL governance layer. Each dashboard answers a specific business question.</w:t>
      </w:r>
    </w:p>
    <w:p w14:paraId="493E81EC" w14:textId="77777777" w:rsidR="009C4936" w:rsidRDefault="009C4936">
      <w:pPr>
        <w:spacing w:before="80"/>
      </w:pPr>
    </w:p>
    <w:p w14:paraId="7E0B0BA7" w14:textId="77777777" w:rsidR="009C4936" w:rsidRDefault="00000000">
      <w:pPr>
        <w:pStyle w:val="ListParagraph"/>
        <w:numPr>
          <w:ilvl w:val="0"/>
          <w:numId w:val="2"/>
        </w:numPr>
        <w:spacing w:before="60" w:after="80" w:line="260" w:lineRule="auto"/>
      </w:pPr>
      <w:r>
        <w:rPr>
          <w:b/>
          <w:bCs/>
          <w:color w:val="1B3A6B"/>
        </w:rPr>
        <w:t>D1 — Overview</w:t>
      </w:r>
      <w:r>
        <w:t xml:space="preserve"> — Total spend, average governance score, cost per governance point, workload performance summary.</w:t>
      </w:r>
    </w:p>
    <w:p w14:paraId="08CB0C78" w14:textId="77777777" w:rsidR="009C4936" w:rsidRDefault="00000000">
      <w:pPr>
        <w:pStyle w:val="ListParagraph"/>
        <w:numPr>
          <w:ilvl w:val="0"/>
          <w:numId w:val="2"/>
        </w:numPr>
        <w:spacing w:before="60" w:after="80" w:line="260" w:lineRule="auto"/>
      </w:pPr>
      <w:r>
        <w:rPr>
          <w:b/>
          <w:bCs/>
          <w:color w:val="1B3A6B"/>
        </w:rPr>
        <w:t>D2 — Tier Analysis</w:t>
      </w:r>
      <w:r>
        <w:t xml:space="preserve"> — Governance efficiency index and cost-quality </w:t>
      </w:r>
      <w:proofErr w:type="spellStart"/>
      <w:r>
        <w:t>tradeoff</w:t>
      </w:r>
      <w:proofErr w:type="spellEnd"/>
      <w:r>
        <w:t xml:space="preserve"> by model tier and workload.</w:t>
      </w:r>
    </w:p>
    <w:p w14:paraId="70AA0260" w14:textId="77777777" w:rsidR="009C4936" w:rsidRDefault="00000000">
      <w:pPr>
        <w:pStyle w:val="ListParagraph"/>
        <w:numPr>
          <w:ilvl w:val="0"/>
          <w:numId w:val="2"/>
        </w:numPr>
        <w:spacing w:before="60" w:after="80" w:line="260" w:lineRule="auto"/>
      </w:pPr>
      <w:r>
        <w:rPr>
          <w:b/>
          <w:bCs/>
          <w:color w:val="1B3A6B"/>
        </w:rPr>
        <w:t>D3 — Vendor Analysis</w:t>
      </w:r>
      <w:r>
        <w:t xml:space="preserve"> — Provider reliability, model stability, cost-versus-governance scatter across all 10 models.</w:t>
      </w:r>
    </w:p>
    <w:p w14:paraId="452A1236" w14:textId="77777777" w:rsidR="009C4936" w:rsidRDefault="00000000">
      <w:pPr>
        <w:pStyle w:val="ListParagraph"/>
        <w:numPr>
          <w:ilvl w:val="0"/>
          <w:numId w:val="2"/>
        </w:numPr>
        <w:spacing w:before="60" w:after="80" w:line="260" w:lineRule="auto"/>
      </w:pPr>
      <w:r>
        <w:rPr>
          <w:b/>
          <w:bCs/>
          <w:color w:val="1B3A6B"/>
        </w:rPr>
        <w:lastRenderedPageBreak/>
        <w:t>D4 — Performance</w:t>
      </w:r>
      <w:r>
        <w:t xml:space="preserve"> — Latency profiles, governance quality thresholds, provider benchmark positioning.</w:t>
      </w:r>
    </w:p>
    <w:p w14:paraId="7A098CD6" w14:textId="77777777" w:rsidR="009C4936" w:rsidRDefault="00000000">
      <w:pPr>
        <w:pStyle w:val="ListParagraph"/>
        <w:numPr>
          <w:ilvl w:val="0"/>
          <w:numId w:val="2"/>
        </w:numPr>
        <w:spacing w:before="60" w:after="80" w:line="260" w:lineRule="auto"/>
      </w:pPr>
      <w:r>
        <w:rPr>
          <w:b/>
          <w:bCs/>
          <w:color w:val="1B3A6B"/>
        </w:rPr>
        <w:t>D5 — Risk &amp; Cost</w:t>
      </w:r>
      <w:r>
        <w:t xml:space="preserve"> — Hallucination risk, governance score floors, misallocation rate, cost efficiency landscape.</w:t>
      </w:r>
    </w:p>
    <w:p w14:paraId="5B6CEB2C" w14:textId="77777777" w:rsidR="009C4936" w:rsidRDefault="00000000">
      <w:pPr>
        <w:pStyle w:val="ListParagraph"/>
        <w:numPr>
          <w:ilvl w:val="0"/>
          <w:numId w:val="2"/>
        </w:numPr>
        <w:spacing w:before="60" w:after="80" w:line="260" w:lineRule="auto"/>
      </w:pPr>
      <w:r>
        <w:rPr>
          <w:b/>
          <w:bCs/>
          <w:color w:val="1B3A6B"/>
        </w:rPr>
        <w:t>D6 — Recommendations</w:t>
      </w:r>
      <w:r>
        <w:t xml:space="preserve"> — Provider scorecard, cost waste summary, tier standardization recommendations.</w:t>
      </w:r>
    </w:p>
    <w:p w14:paraId="7C86D384" w14:textId="77777777" w:rsidR="009C4936" w:rsidRDefault="009C4936">
      <w:pPr>
        <w:spacing w:before="100"/>
      </w:pPr>
    </w:p>
    <w:p w14:paraId="5B6D7BAB" w14:textId="77777777" w:rsidR="009C4936" w:rsidRDefault="00000000">
      <w:pPr>
        <w:spacing w:before="80" w:after="120" w:line="276" w:lineRule="auto"/>
        <w:jc w:val="both"/>
      </w:pPr>
      <w:r>
        <w:t>This project demonstrates SQL-first analytics engineering, governance-aware KPI design, cost benchmarking methodology, and business intelligence presentation at an enterprise standard — built for portfolio review, senior data team evaluation, and technical interview discussion.</w:t>
      </w:r>
    </w:p>
    <w:sectPr w:rsidR="009C4936">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973ED" w14:textId="77777777" w:rsidR="00E66195" w:rsidRDefault="00E66195">
      <w:r>
        <w:separator/>
      </w:r>
    </w:p>
  </w:endnote>
  <w:endnote w:type="continuationSeparator" w:id="0">
    <w:p w14:paraId="00CF14CA" w14:textId="77777777" w:rsidR="00E66195" w:rsidRDefault="00E661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5AC73" w14:textId="77777777" w:rsidR="009C4936" w:rsidRDefault="00000000">
    <w:pPr>
      <w:pBdr>
        <w:top w:val="single" w:sz="4" w:space="1" w:color="1B3A6B"/>
      </w:pBdr>
      <w:spacing w:before="120"/>
      <w:jc w:val="center"/>
    </w:pPr>
    <w:r>
      <w:rPr>
        <w:color w:val="888888"/>
        <w:sz w:val="16"/>
        <w:szCs w:val="16"/>
      </w:rPr>
      <w:t xml:space="preserve">Portfolio </w:t>
    </w:r>
    <w:proofErr w:type="gramStart"/>
    <w:r>
      <w:rPr>
        <w:color w:val="888888"/>
        <w:sz w:val="16"/>
        <w:szCs w:val="16"/>
      </w:rPr>
      <w:t>Project  —</w:t>
    </w:r>
    <w:proofErr w:type="gramEnd"/>
    <w:r>
      <w:rPr>
        <w:color w:val="888888"/>
        <w:sz w:val="16"/>
        <w:szCs w:val="16"/>
      </w:rPr>
      <w:t xml:space="preserve">  Analytics Engineering &amp; Data Analysis    |    Page </w:t>
    </w:r>
    <w:r>
      <w:fldChar w:fldCharType="begin"/>
    </w:r>
    <w:r>
      <w:instrText>PAGE</w:instrText>
    </w:r>
    <w:r>
      <w:fldChar w:fldCharType="separate"/>
    </w:r>
    <w:r w:rsidR="00044AA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7892A" w14:textId="77777777" w:rsidR="00E66195" w:rsidRDefault="00E66195">
      <w:r>
        <w:separator/>
      </w:r>
    </w:p>
  </w:footnote>
  <w:footnote w:type="continuationSeparator" w:id="0">
    <w:p w14:paraId="09A89D4B" w14:textId="77777777" w:rsidR="00E66195" w:rsidRDefault="00E661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5ED1D" w14:textId="77777777" w:rsidR="009C4936" w:rsidRDefault="00000000">
    <w:pPr>
      <w:pBdr>
        <w:bottom w:val="single" w:sz="4" w:space="1" w:color="1B3A6B"/>
      </w:pBdr>
      <w:spacing w:after="120"/>
      <w:jc w:val="right"/>
    </w:pPr>
    <w:r>
      <w:rPr>
        <w:i/>
        <w:iCs/>
        <w:color w:val="2E5FA3"/>
        <w:sz w:val="18"/>
        <w:szCs w:val="18"/>
      </w:rPr>
      <w:t>LLM Governance &amp; Cost Benchmarking Framework</w:t>
    </w:r>
    <w:r>
      <w:rPr>
        <w:color w:val="888888"/>
        <w:sz w:val="18"/>
        <w:szCs w:val="18"/>
      </w:rPr>
      <w:t xml:space="preserve">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A6E89"/>
    <w:multiLevelType w:val="hybridMultilevel"/>
    <w:tmpl w:val="1A0241DC"/>
    <w:lvl w:ilvl="0" w:tplc="21983BA6">
      <w:start w:val="1"/>
      <w:numFmt w:val="bullet"/>
      <w:lvlText w:val="●"/>
      <w:lvlJc w:val="left"/>
      <w:pPr>
        <w:ind w:left="720" w:hanging="360"/>
      </w:pPr>
    </w:lvl>
    <w:lvl w:ilvl="1" w:tplc="ACD86CD8">
      <w:start w:val="1"/>
      <w:numFmt w:val="bullet"/>
      <w:lvlText w:val="○"/>
      <w:lvlJc w:val="left"/>
      <w:pPr>
        <w:ind w:left="1440" w:hanging="360"/>
      </w:pPr>
    </w:lvl>
    <w:lvl w:ilvl="2" w:tplc="FDA68EB6">
      <w:start w:val="1"/>
      <w:numFmt w:val="bullet"/>
      <w:lvlText w:val="■"/>
      <w:lvlJc w:val="left"/>
      <w:pPr>
        <w:ind w:left="2160" w:hanging="360"/>
      </w:pPr>
    </w:lvl>
    <w:lvl w:ilvl="3" w:tplc="608E90FE">
      <w:start w:val="1"/>
      <w:numFmt w:val="bullet"/>
      <w:lvlText w:val="●"/>
      <w:lvlJc w:val="left"/>
      <w:pPr>
        <w:ind w:left="2880" w:hanging="360"/>
      </w:pPr>
    </w:lvl>
    <w:lvl w:ilvl="4" w:tplc="EEDE816C">
      <w:start w:val="1"/>
      <w:numFmt w:val="bullet"/>
      <w:lvlText w:val="○"/>
      <w:lvlJc w:val="left"/>
      <w:pPr>
        <w:ind w:left="3600" w:hanging="360"/>
      </w:pPr>
    </w:lvl>
    <w:lvl w:ilvl="5" w:tplc="8FC4FC8C">
      <w:start w:val="1"/>
      <w:numFmt w:val="bullet"/>
      <w:lvlText w:val="■"/>
      <w:lvlJc w:val="left"/>
      <w:pPr>
        <w:ind w:left="4320" w:hanging="360"/>
      </w:pPr>
    </w:lvl>
    <w:lvl w:ilvl="6" w:tplc="15D2819A">
      <w:start w:val="1"/>
      <w:numFmt w:val="bullet"/>
      <w:lvlText w:val="●"/>
      <w:lvlJc w:val="left"/>
      <w:pPr>
        <w:ind w:left="5040" w:hanging="360"/>
      </w:pPr>
    </w:lvl>
    <w:lvl w:ilvl="7" w:tplc="87ECFBC8">
      <w:start w:val="1"/>
      <w:numFmt w:val="bullet"/>
      <w:lvlText w:val="●"/>
      <w:lvlJc w:val="left"/>
      <w:pPr>
        <w:ind w:left="5760" w:hanging="360"/>
      </w:pPr>
    </w:lvl>
    <w:lvl w:ilvl="8" w:tplc="D50CC45A">
      <w:start w:val="1"/>
      <w:numFmt w:val="bullet"/>
      <w:lvlText w:val="●"/>
      <w:lvlJc w:val="left"/>
      <w:pPr>
        <w:ind w:left="6480" w:hanging="360"/>
      </w:pPr>
    </w:lvl>
  </w:abstractNum>
  <w:abstractNum w:abstractNumId="1" w15:restartNumberingAfterBreak="0">
    <w:nsid w:val="661C15A2"/>
    <w:multiLevelType w:val="hybridMultilevel"/>
    <w:tmpl w:val="37DED02A"/>
    <w:lvl w:ilvl="0" w:tplc="866A2940">
      <w:start w:val="1"/>
      <w:numFmt w:val="bullet"/>
      <w:lvlText w:val="•"/>
      <w:lvlJc w:val="left"/>
      <w:pPr>
        <w:ind w:left="720" w:hanging="360"/>
      </w:pPr>
    </w:lvl>
    <w:lvl w:ilvl="1" w:tplc="E698D99E">
      <w:numFmt w:val="decimal"/>
      <w:lvlText w:val=""/>
      <w:lvlJc w:val="left"/>
    </w:lvl>
    <w:lvl w:ilvl="2" w:tplc="3E6E58B0">
      <w:numFmt w:val="decimal"/>
      <w:lvlText w:val=""/>
      <w:lvlJc w:val="left"/>
    </w:lvl>
    <w:lvl w:ilvl="3" w:tplc="AC12AC0A">
      <w:numFmt w:val="decimal"/>
      <w:lvlText w:val=""/>
      <w:lvlJc w:val="left"/>
    </w:lvl>
    <w:lvl w:ilvl="4" w:tplc="B0BE0956">
      <w:numFmt w:val="decimal"/>
      <w:lvlText w:val=""/>
      <w:lvlJc w:val="left"/>
    </w:lvl>
    <w:lvl w:ilvl="5" w:tplc="9EFCD2E6">
      <w:numFmt w:val="decimal"/>
      <w:lvlText w:val=""/>
      <w:lvlJc w:val="left"/>
    </w:lvl>
    <w:lvl w:ilvl="6" w:tplc="4522AB2C">
      <w:numFmt w:val="decimal"/>
      <w:lvlText w:val=""/>
      <w:lvlJc w:val="left"/>
    </w:lvl>
    <w:lvl w:ilvl="7" w:tplc="2D72D01E">
      <w:numFmt w:val="decimal"/>
      <w:lvlText w:val=""/>
      <w:lvlJc w:val="left"/>
    </w:lvl>
    <w:lvl w:ilvl="8" w:tplc="A5787BE6">
      <w:numFmt w:val="decimal"/>
      <w:lvlText w:val=""/>
      <w:lvlJc w:val="left"/>
    </w:lvl>
  </w:abstractNum>
  <w:num w:numId="1" w16cid:durableId="580261621">
    <w:abstractNumId w:val="0"/>
    <w:lvlOverride w:ilvl="0">
      <w:startOverride w:val="1"/>
    </w:lvlOverride>
  </w:num>
  <w:num w:numId="2" w16cid:durableId="12373940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936"/>
    <w:rsid w:val="00044AA3"/>
    <w:rsid w:val="005570BF"/>
    <w:rsid w:val="009C4936"/>
    <w:rsid w:val="00E661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73E0D"/>
  <w15:docId w15:val="{052F5B03-A66A-4F34-BA99-E67238EC7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2C2C"/>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44AA3"/>
    <w:pPr>
      <w:tabs>
        <w:tab w:val="center" w:pos="4513"/>
        <w:tab w:val="right" w:pos="9026"/>
      </w:tabs>
    </w:pPr>
  </w:style>
  <w:style w:type="character" w:customStyle="1" w:styleId="HeaderChar">
    <w:name w:val="Header Char"/>
    <w:basedOn w:val="DefaultParagraphFont"/>
    <w:link w:val="Header"/>
    <w:uiPriority w:val="99"/>
    <w:rsid w:val="00044AA3"/>
  </w:style>
  <w:style w:type="paragraph" w:styleId="Footer">
    <w:name w:val="footer"/>
    <w:basedOn w:val="Normal"/>
    <w:link w:val="FooterChar"/>
    <w:uiPriority w:val="99"/>
    <w:unhideWhenUsed/>
    <w:rsid w:val="00044AA3"/>
    <w:pPr>
      <w:tabs>
        <w:tab w:val="center" w:pos="4513"/>
        <w:tab w:val="right" w:pos="9026"/>
      </w:tabs>
    </w:pPr>
  </w:style>
  <w:style w:type="character" w:customStyle="1" w:styleId="FooterChar">
    <w:name w:val="Footer Char"/>
    <w:basedOn w:val="DefaultParagraphFont"/>
    <w:link w:val="Footer"/>
    <w:uiPriority w:val="99"/>
    <w:rsid w:val="00044A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896</Words>
  <Characters>5111</Characters>
  <Application>Microsoft Office Word</Application>
  <DocSecurity>0</DocSecurity>
  <Lines>42</Lines>
  <Paragraphs>11</Paragraphs>
  <ScaleCrop>false</ScaleCrop>
  <Company/>
  <LinksUpToDate>false</LinksUpToDate>
  <CharactersWithSpaces>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 Shinde</cp:lastModifiedBy>
  <cp:revision>2</cp:revision>
  <dcterms:created xsi:type="dcterms:W3CDTF">2026-03-18T08:49:00Z</dcterms:created>
  <dcterms:modified xsi:type="dcterms:W3CDTF">2026-03-18T08:57:00Z</dcterms:modified>
</cp:coreProperties>
</file>