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40"/>
      </w:pPr>
      <w:r>
        <w:rPr>
          <w:rFonts w:ascii="Calibri" w:cs="Calibri" w:eastAsia="Calibri" w:hAnsi="Calibri"/>
          <w:color w:val="0F2444"/>
          <w:sz w:val="48"/>
          <w:szCs w:val="48"/>
        </w:rPr>
        <w:t xml:space="preserve">LLM Governance &amp; Cost Benchmarking Framework</w:t>
      </w:r>
    </w:p>
    <w:p>
      <w:pPr>
        <w:spacing w:before="0" w:after="60"/>
      </w:pPr>
      <w:r>
        <w:rPr>
          <w:rFonts w:ascii="Calibri" w:cs="Calibri" w:eastAsia="Calibri" w:hAnsi="Calibri"/>
          <w:i/>
          <w:iCs/>
          <w:color w:val="2E5FA3"/>
          <w:sz w:val="24"/>
          <w:szCs w:val="24"/>
        </w:rPr>
        <w:t xml:space="preserve">Warehouse Architecture</w:t>
      </w:r>
    </w:p>
    <w:p>
      <w:pPr>
        <w:pBdr>
          <w:bottom w:val="single" w:color="1B3A6B" w:sz="6" w:space="1"/>
        </w:pBdr>
        <w:spacing w:before="0" w:after="180"/>
      </w:pPr>
    </w:p>
    <w:p>
      <w:pPr>
        <w:pStyle w:val="Heading1"/>
        <w:spacing w:before="340" w:after="120"/>
      </w:pPr>
      <w:r>
        <w:rPr>
          <w:rFonts w:ascii="Calibri" w:cs="Calibri" w:eastAsia="Calibri" w:hAnsi="Calibri"/>
          <w:b/>
          <w:bCs/>
          <w:color w:val="1B3A6B"/>
          <w:sz w:val="28"/>
          <w:szCs w:val="28"/>
        </w:rPr>
        <w:t xml:space="preserve">1. Architecture Philosophy</w:t>
      </w:r>
    </w:p>
    <w:p>
      <w:pPr>
        <w:spacing w:before="80" w:after="120" w:line="276"/>
        <w:jc w:val="both"/>
      </w:pPr>
      <w:r>
        <w:rPr>
          <w:rFonts w:ascii="Calibri" w:cs="Calibri" w:eastAsia="Calibri" w:hAnsi="Calibri"/>
          <w:color w:val="2C2C2C"/>
          <w:sz w:val="22"/>
          <w:szCs w:val="22"/>
        </w:rPr>
        <w:t xml:space="preserve">The warehouse is built on one principle — SQL is the single source of truth. Every business rule, every KPI definition, every cost formula, every governance score lives in MySQL. Nothing is computed in Python. Nothing is computed in Power BI. If you want to understand how a number is produced, you read the SQL.</w:t>
      </w:r>
    </w:p>
    <w:p>
      <w:pPr>
        <w:spacing w:before="80" w:after="0"/>
      </w:pPr>
    </w:p>
    <w:p>
      <w:pPr>
        <w:pBdr>
          <w:left w:val="single" w:color="1B3A6B" w:sz="18" w:space="6"/>
        </w:pBdr>
        <w:spacing w:before="140" w:after="140"/>
        <w:ind w:left="360"/>
      </w:pPr>
      <w:r>
        <w:rPr>
          <w:rFonts w:ascii="Calibri" w:cs="Calibri" w:eastAsia="Calibri" w:hAnsi="Calibri"/>
          <w:b/>
          <w:bCs/>
          <w:i/>
          <w:iCs/>
          <w:color w:val="1B3A6B"/>
          <w:sz w:val="22"/>
          <w:szCs w:val="22"/>
        </w:rPr>
        <w:t xml:space="preserve">One direction. One source of truth. Python loads. SQL computes. Power BI displays.</w:t>
      </w:r>
    </w:p>
    <w:p>
      <w:pPr>
        <w:spacing w:before="100" w:after="0"/>
      </w:pPr>
    </w:p>
    <w:p>
      <w:pPr>
        <w:spacing w:before="80" w:after="120" w:line="276"/>
        <w:jc w:val="both"/>
      </w:pPr>
      <w:r>
        <w:rPr>
          <w:rFonts w:ascii="Calibri" w:cs="Calibri" w:eastAsia="Calibri" w:hAnsi="Calibri"/>
          <w:color w:val="2C2C2C"/>
          <w:sz w:val="22"/>
          <w:szCs w:val="22"/>
        </w:rPr>
        <w:t xml:space="preserve">This architecture makes the project auditable. Any analyst can open MySQL Workbench, run the views, and trace every number back to its source. That is the standard expected in a production fintech environment — and that is the standard this project is built to.</w:t>
      </w:r>
    </w:p>
    <w:p>
      <w:pPr>
        <w:spacing w:before="120" w:after="0"/>
      </w:pPr>
    </w:p>
    <w:p>
      <w:pPr>
        <w:pStyle w:val="Heading1"/>
        <w:spacing w:before="340" w:after="120"/>
      </w:pPr>
      <w:r>
        <w:rPr>
          <w:rFonts w:ascii="Calibri" w:cs="Calibri" w:eastAsia="Calibri" w:hAnsi="Calibri"/>
          <w:b/>
          <w:bCs/>
          <w:color w:val="1B3A6B"/>
          <w:sz w:val="28"/>
          <w:szCs w:val="28"/>
        </w:rPr>
        <w:t xml:space="preserve">2. Layer Overview</w:t>
      </w:r>
    </w:p>
    <w:p>
      <w:pPr>
        <w:spacing w:before="80" w:after="120" w:line="276"/>
        <w:jc w:val="both"/>
      </w:pPr>
      <w:r>
        <w:rPr>
          <w:rFonts w:ascii="Calibri" w:cs="Calibri" w:eastAsia="Calibri" w:hAnsi="Calibri"/>
          <w:color w:val="2C2C2C"/>
          <w:sz w:val="22"/>
          <w:szCs w:val="22"/>
        </w:rPr>
        <w:t xml:space="preserve">The warehouse is organized into nine layers, each with a single responsibility. No layer performs work that belongs to the next.</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360"/>
      </w:tblGrid>
      <w:tr>
        <w:tc>
          <w:tcPr>
            <w:tcW w:type="dxa" w:w="180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Layer</w:t>
            </w:r>
          </w:p>
        </w:tc>
        <w:tc>
          <w:tcPr>
            <w:tcW w:type="dxa" w:w="240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Tool</w:t>
            </w:r>
          </w:p>
        </w:tc>
        <w:tc>
          <w:tcPr>
            <w:tcW w:type="dxa" w:w="180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Tables / Objects</w:t>
            </w:r>
          </w:p>
        </w:tc>
        <w:tc>
          <w:tcPr>
            <w:tcW w:type="dxa" w:w="336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Responsibility</w:t>
            </w:r>
          </w:p>
        </w:tc>
      </w:tr>
      <w:tr>
        <w:tc>
          <w:tcPr>
            <w:tcW w:type="dxa" w:w="180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bCs/>
                <w:color w:val="2C2C2C"/>
                <w:sz w:val="20"/>
                <w:szCs w:val="20"/>
              </w:rPr>
              <w:t xml:space="preserve">Ingestion</w:t>
            </w:r>
          </w:p>
        </w:tc>
        <w:tc>
          <w:tcPr>
            <w:tcW w:type="dxa" w:w="240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Python — VS Code</w:t>
            </w:r>
          </w:p>
        </w:tc>
        <w:tc>
          <w:tcPr>
            <w:tcW w:type="dxa" w:w="180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1 staging table</w:t>
            </w:r>
          </w:p>
        </w:tc>
        <w:tc>
          <w:tcPr>
            <w:tcW w:type="dxa" w:w="336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CSV load only. Zero transformation.</w:t>
            </w:r>
          </w:p>
        </w:tc>
      </w:tr>
      <w:tr>
        <w:tc>
          <w:tcPr>
            <w:tcW w:type="dxa" w:w="180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bCs/>
                <w:color w:val="2C2C2C"/>
                <w:sz w:val="20"/>
                <w:szCs w:val="20"/>
              </w:rPr>
              <w:t xml:space="preserve">Foundation</w:t>
            </w:r>
          </w:p>
        </w:tc>
        <w:tc>
          <w:tcPr>
            <w:tcW w:type="dxa" w:w="240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MySQL</w:t>
            </w:r>
          </w:p>
        </w:tc>
        <w:tc>
          <w:tcPr>
            <w:tcW w:type="dxa" w:w="180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2 KPI tables</w:t>
            </w:r>
          </w:p>
        </w:tc>
        <w:tc>
          <w:tcPr>
            <w:tcW w:type="dxa" w:w="336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Raw data aggregation, KPI computation, anomaly detection.</w:t>
            </w:r>
          </w:p>
        </w:tc>
      </w:tr>
      <w:tr>
        <w:tc>
          <w:tcPr>
            <w:tcW w:type="dxa" w:w="180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bCs/>
                <w:color w:val="2C2C2C"/>
                <w:sz w:val="20"/>
                <w:szCs w:val="20"/>
              </w:rPr>
              <w:t xml:space="preserve">Seed</w:t>
            </w:r>
          </w:p>
        </w:tc>
        <w:tc>
          <w:tcPr>
            <w:tcW w:type="dxa" w:w="240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MySQL</w:t>
            </w:r>
          </w:p>
        </w:tc>
        <w:tc>
          <w:tcPr>
            <w:tcW w:type="dxa" w:w="180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2 seed tables</w:t>
            </w:r>
          </w:p>
        </w:tc>
        <w:tc>
          <w:tcPr>
            <w:tcW w:type="dxa" w:w="336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Governance tier definitions, model registry, real pricing.</w:t>
            </w:r>
          </w:p>
        </w:tc>
      </w:tr>
      <w:tr>
        <w:tc>
          <w:tcPr>
            <w:tcW w:type="dxa" w:w="180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bCs/>
                <w:color w:val="2C2C2C"/>
                <w:sz w:val="20"/>
                <w:szCs w:val="20"/>
              </w:rPr>
              <w:t xml:space="preserve">Experiment</w:t>
            </w:r>
          </w:p>
        </w:tc>
        <w:tc>
          <w:tcPr>
            <w:tcW w:type="dxa" w:w="240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MySQL</w:t>
            </w:r>
          </w:p>
        </w:tc>
        <w:tc>
          <w:tcPr>
            <w:tcW w:type="dxa" w:w="180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1 run table</w:t>
            </w:r>
          </w:p>
        </w:tc>
        <w:tc>
          <w:tcPr>
            <w:tcW w:type="dxa" w:w="336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5,388 deterministic LLM experiment runs.</w:t>
            </w:r>
          </w:p>
        </w:tc>
      </w:tr>
      <w:tr>
        <w:tc>
          <w:tcPr>
            <w:tcW w:type="dxa" w:w="180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bCs/>
                <w:color w:val="2C2C2C"/>
                <w:sz w:val="20"/>
                <w:szCs w:val="20"/>
              </w:rPr>
              <w:t xml:space="preserve">Evaluation</w:t>
            </w:r>
          </w:p>
        </w:tc>
        <w:tc>
          <w:tcPr>
            <w:tcW w:type="dxa" w:w="240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MySQL</w:t>
            </w:r>
          </w:p>
        </w:tc>
        <w:tc>
          <w:tcPr>
            <w:tcW w:type="dxa" w:w="180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1 scoring table</w:t>
            </w:r>
          </w:p>
        </w:tc>
        <w:tc>
          <w:tcPr>
            <w:tcW w:type="dxa" w:w="336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Tier-weighted composite governance scoring.</w:t>
            </w:r>
          </w:p>
        </w:tc>
      </w:tr>
      <w:tr>
        <w:tc>
          <w:tcPr>
            <w:tcW w:type="dxa" w:w="180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bCs/>
                <w:color w:val="2C2C2C"/>
                <w:sz w:val="20"/>
                <w:szCs w:val="20"/>
              </w:rPr>
              <w:t xml:space="preserve">Cost</w:t>
            </w:r>
          </w:p>
        </w:tc>
        <w:tc>
          <w:tcPr>
            <w:tcW w:type="dxa" w:w="240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MySQL</w:t>
            </w:r>
          </w:p>
        </w:tc>
        <w:tc>
          <w:tcPr>
            <w:tcW w:type="dxa" w:w="180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1 cost table</w:t>
            </w:r>
          </w:p>
        </w:tc>
        <w:tc>
          <w:tcPr>
            <w:tcW w:type="dxa" w:w="336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Per-run cost calculation using real pricing rates.</w:t>
            </w:r>
          </w:p>
        </w:tc>
      </w:tr>
      <w:tr>
        <w:tc>
          <w:tcPr>
            <w:tcW w:type="dxa" w:w="180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bCs/>
                <w:color w:val="2C2C2C"/>
                <w:sz w:val="20"/>
                <w:szCs w:val="20"/>
              </w:rPr>
              <w:t xml:space="preserve">View Layer</w:t>
            </w:r>
          </w:p>
        </w:tc>
        <w:tc>
          <w:tcPr>
            <w:tcW w:type="dxa" w:w="240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MySQL</w:t>
            </w:r>
          </w:p>
        </w:tc>
        <w:tc>
          <w:tcPr>
            <w:tcW w:type="dxa" w:w="180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11 SQL views</w:t>
            </w:r>
          </w:p>
        </w:tc>
        <w:tc>
          <w:tcPr>
            <w:tcW w:type="dxa" w:w="336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Executive benchmarking layer. Single source for Power BI.</w:t>
            </w:r>
          </w:p>
        </w:tc>
      </w:tr>
      <w:tr>
        <w:tc>
          <w:tcPr>
            <w:tcW w:type="dxa" w:w="180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bCs/>
                <w:color w:val="2C2C2C"/>
                <w:sz w:val="20"/>
                <w:szCs w:val="20"/>
              </w:rPr>
              <w:t xml:space="preserve">Visualization</w:t>
            </w:r>
          </w:p>
        </w:tc>
        <w:tc>
          <w:tcPr>
            <w:tcW w:type="dxa" w:w="240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Power BI</w:t>
            </w:r>
          </w:p>
        </w:tc>
        <w:tc>
          <w:tcPr>
            <w:tcW w:type="dxa" w:w="180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6 dashboards</w:t>
            </w:r>
          </w:p>
        </w:tc>
        <w:tc>
          <w:tcPr>
            <w:tcW w:type="dxa" w:w="336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Zero transformation. Reads directly from SQL views.</w:t>
            </w:r>
          </w:p>
        </w:tc>
      </w:tr>
    </w:tbl>
    <w:p>
      <w:pPr>
        <w:spacing w:before="120" w:after="0"/>
      </w:pPr>
    </w:p>
    <w:p>
      <w:pPr>
        <w:pStyle w:val="Heading1"/>
        <w:spacing w:before="340" w:after="120"/>
      </w:pPr>
      <w:r>
        <w:rPr>
          <w:rFonts w:ascii="Calibri" w:cs="Calibri" w:eastAsia="Calibri" w:hAnsi="Calibri"/>
          <w:b/>
          <w:bCs/>
          <w:color w:val="1B3A6B"/>
          <w:sz w:val="28"/>
          <w:szCs w:val="28"/>
        </w:rPr>
        <w:t xml:space="preserve">3. Database Configuration</w:t>
      </w:r>
    </w:p>
    <w:p>
      <w:pPr>
        <w:spacing w:before="80" w:after="120" w:line="276"/>
        <w:jc w:val="both"/>
      </w:pPr>
      <w:r>
        <w:rPr>
          <w:rFonts w:ascii="Calibri" w:cs="Calibri" w:eastAsia="Calibri" w:hAnsi="Calibri"/>
          <w:color w:val="2C2C2C"/>
          <w:sz w:val="22"/>
          <w:szCs w:val="22"/>
        </w:rPr>
        <w:t xml:space="preserve">All objects live in a single database — llm_governance_fintech — running on a local MySQL server using the InnoDB storage engine.</w:t>
      </w:r>
    </w:p>
    <w:p>
      <w:pPr>
        <w:spacing w:before="80" w:after="0"/>
      </w:pPr>
    </w:p>
    <w:p>
      <w:pPr>
        <w:pBdr>
          <w:left w:val="single" w:color="2E5FA3" w:sz="12" w:space="6"/>
        </w:pBdr>
        <w:shd w:fill="F0F4FA" w:val="clear"/>
        <w:spacing w:before="40" w:after="40"/>
        <w:ind w:left="360"/>
      </w:pPr>
      <w:r>
        <w:rPr>
          <w:rFonts w:ascii="Courier New" w:cs="Courier New" w:eastAsia="Courier New" w:hAnsi="Courier New"/>
          <w:color w:val="1A1A2E"/>
          <w:sz w:val="18"/>
          <w:szCs w:val="18"/>
        </w:rPr>
        <w:t xml:space="preserve">Database  : llm_governance_fintech</w:t>
      </w:r>
    </w:p>
    <w:p>
      <w:pPr>
        <w:pBdr>
          <w:left w:val="single" w:color="2E5FA3" w:sz="12" w:space="6"/>
        </w:pBdr>
        <w:shd w:fill="F0F4FA" w:val="clear"/>
        <w:spacing w:before="40" w:after="40"/>
        <w:ind w:left="360"/>
      </w:pPr>
      <w:r>
        <w:rPr>
          <w:rFonts w:ascii="Courier New" w:cs="Courier New" w:eastAsia="Courier New" w:hAnsi="Courier New"/>
          <w:color w:val="1A1A2E"/>
          <w:sz w:val="18"/>
          <w:szCs w:val="18"/>
        </w:rPr>
        <w:t xml:space="preserve">Engine    : InnoDB</w:t>
      </w:r>
    </w:p>
    <w:p>
      <w:pPr>
        <w:pBdr>
          <w:left w:val="single" w:color="2E5FA3" w:sz="12" w:space="6"/>
        </w:pBdr>
        <w:shd w:fill="F0F4FA" w:val="clear"/>
        <w:spacing w:before="40" w:after="40"/>
        <w:ind w:left="360"/>
      </w:pPr>
      <w:r>
        <w:rPr>
          <w:rFonts w:ascii="Courier New" w:cs="Courier New" w:eastAsia="Courier New" w:hAnsi="Courier New"/>
          <w:color w:val="1A1A2E"/>
          <w:sz w:val="18"/>
          <w:szCs w:val="18"/>
        </w:rPr>
        <w:t xml:space="preserve">Tables    : 7</w:t>
      </w:r>
    </w:p>
    <w:p>
      <w:pPr>
        <w:pBdr>
          <w:left w:val="single" w:color="2E5FA3" w:sz="12" w:space="6"/>
        </w:pBdr>
        <w:shd w:fill="F0F4FA" w:val="clear"/>
        <w:spacing w:before="40" w:after="40"/>
        <w:ind w:left="360"/>
      </w:pPr>
      <w:r>
        <w:rPr>
          <w:rFonts w:ascii="Courier New" w:cs="Courier New" w:eastAsia="Courier New" w:hAnsi="Courier New"/>
          <w:color w:val="1A1A2E"/>
          <w:sz w:val="18"/>
          <w:szCs w:val="18"/>
        </w:rPr>
        <w:t xml:space="preserve">Views     : 11</w:t>
      </w:r>
    </w:p>
    <w:p>
      <w:pPr>
        <w:pBdr>
          <w:left w:val="single" w:color="2E5FA3" w:sz="12" w:space="6"/>
        </w:pBdr>
        <w:shd w:fill="F0F4FA" w:val="clear"/>
        <w:spacing w:before="40" w:after="40"/>
        <w:ind w:left="360"/>
      </w:pPr>
      <w:r>
        <w:rPr>
          <w:rFonts w:ascii="Courier New" w:cs="Courier New" w:eastAsia="Courier New" w:hAnsi="Courier New"/>
          <w:color w:val="1A1A2E"/>
          <w:sz w:val="18"/>
          <w:szCs w:val="18"/>
        </w:rPr>
        <w:t xml:space="preserve">Total rows: 16,066  (staging + KPI + seed + experiment + scoring + cost)</w:t>
      </w:r>
    </w:p>
    <w:p>
      <w:pPr>
        <w:spacing w:before="100" w:after="0"/>
      </w:pPr>
    </w:p>
    <w:p>
      <w:pPr>
        <w:spacing w:before="80" w:after="120" w:line="276"/>
        <w:jc w:val="both"/>
      </w:pPr>
      <w:r>
        <w:rPr>
          <w:rFonts w:ascii="Calibri" w:cs="Calibri" w:eastAsia="Calibri" w:hAnsi="Calibri"/>
          <w:color w:val="2C2C2C"/>
          <w:sz w:val="22"/>
          <w:szCs w:val="22"/>
        </w:rPr>
        <w:t xml:space="preserve">InnoDB was chosen over MyISAM for one reason — foreign key enforcement. Every referential integrity constraint in this project requires InnoDB. MyISAM accepts FK syntax but does not enforce it, which would allow orphan records to exist silently.</w:t>
      </w:r>
    </w:p>
    <w:p>
      <w:pPr>
        <w:spacing w:before="120" w:after="0"/>
      </w:pPr>
    </w:p>
    <w:p>
      <w:pPr>
        <w:pStyle w:val="Heading1"/>
        <w:spacing w:before="340" w:after="120"/>
      </w:pPr>
      <w:r>
        <w:rPr>
          <w:rFonts w:ascii="Calibri" w:cs="Calibri" w:eastAsia="Calibri" w:hAnsi="Calibri"/>
          <w:b/>
          <w:bCs/>
          <w:color w:val="1B3A6B"/>
          <w:sz w:val="28"/>
          <w:szCs w:val="28"/>
        </w:rPr>
        <w:t xml:space="preserve">4. Table Inventory</w:t>
      </w:r>
    </w:p>
    <w:p>
      <w:pPr>
        <w:spacing w:before="80" w:after="120" w:line="276"/>
        <w:jc w:val="both"/>
      </w:pPr>
      <w:r>
        <w:rPr>
          <w:rFonts w:ascii="Calibri" w:cs="Calibri" w:eastAsia="Calibri" w:hAnsi="Calibri"/>
          <w:color w:val="2C2C2C"/>
          <w:sz w:val="22"/>
          <w:szCs w:val="22"/>
        </w:rPr>
        <w:t xml:space="preserve">Seven tables. Three distinct categories — real data, seed definitions, and engineered experiment output.</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Table Name</w:t>
            </w:r>
          </w:p>
        </w:tc>
        <w:tc>
          <w:tcPr>
            <w:tcW w:type="dxa" w:w="140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Rows</w:t>
            </w:r>
          </w:p>
        </w:tc>
        <w:tc>
          <w:tcPr>
            <w:tcW w:type="dxa" w:w="476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Purpose</w:t>
            </w:r>
          </w:p>
        </w:tc>
      </w:tr>
      <w:tr>
        <w:tc>
          <w:tcPr>
            <w:tcW w:type="dxa" w:w="320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phonepe_transactions_staging</w:t>
            </w:r>
          </w:p>
        </w:tc>
        <w:tc>
          <w:tcPr>
            <w:tcW w:type="dxa" w:w="140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5,034</w:t>
            </w:r>
          </w:p>
        </w:tc>
        <w:tc>
          <w:tcPr>
            <w:tcW w:type="dxa" w:w="476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Raw PhonePe CSV data. Ingestion boundary. Never queried directly by analytical layer.</w:t>
            </w:r>
          </w:p>
        </w:tc>
      </w:tr>
      <w:tr>
        <w:tc>
          <w:tcPr>
            <w:tcW w:type="dxa" w:w="320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state_kpi_summary</w:t>
            </w:r>
          </w:p>
        </w:tc>
        <w:tc>
          <w:tcPr>
            <w:tcW w:type="dxa" w:w="140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252</w:t>
            </w:r>
          </w:p>
        </w:tc>
        <w:tc>
          <w:tcPr>
            <w:tcW w:type="dxa" w:w="476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Aggregated state-year KPIs. YoY growth, rankings, anomaly flags, kpi_hash.</w:t>
            </w:r>
          </w:p>
        </w:tc>
      </w:tr>
      <w:tr>
        <w:tc>
          <w:tcPr>
            <w:tcW w:type="dxa" w:w="320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prompt_versions</w:t>
            </w:r>
          </w:p>
        </w:tc>
        <w:tc>
          <w:tcPr>
            <w:tcW w:type="dxa" w:w="140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6</w:t>
            </w:r>
          </w:p>
        </w:tc>
        <w:tc>
          <w:tcPr>
            <w:tcW w:type="dxa" w:w="476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Governance tier definitions. 3 workload types x 2 versions.</w:t>
            </w:r>
          </w:p>
        </w:tc>
      </w:tr>
      <w:tr>
        <w:tc>
          <w:tcPr>
            <w:tcW w:type="dxa" w:w="320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model_versions</w:t>
            </w:r>
          </w:p>
        </w:tc>
        <w:tc>
          <w:tcPr>
            <w:tcW w:type="dxa" w:w="140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10</w:t>
            </w:r>
          </w:p>
        </w:tc>
        <w:tc>
          <w:tcPr>
            <w:tcW w:type="dxa" w:w="476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Model registry. 5 providers, 10 models, real 2026 pricing rates.</w:t>
            </w:r>
          </w:p>
        </w:tc>
      </w:tr>
      <w:tr>
        <w:tc>
          <w:tcPr>
            <w:tcW w:type="dxa" w:w="320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experiment_runs</w:t>
            </w:r>
          </w:p>
        </w:tc>
        <w:tc>
          <w:tcPr>
            <w:tcW w:type="dxa" w:w="140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5,388</w:t>
            </w:r>
          </w:p>
        </w:tc>
        <w:tc>
          <w:tcPr>
            <w:tcW w:type="dxa" w:w="476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LLM experiment simulation. Deterministic 70/30 compliant-misallocated split.</w:t>
            </w:r>
          </w:p>
        </w:tc>
      </w:tr>
      <w:tr>
        <w:tc>
          <w:tcPr>
            <w:tcW w:type="dxa" w:w="320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evaluation_results</w:t>
            </w:r>
          </w:p>
        </w:tc>
        <w:tc>
          <w:tcPr>
            <w:tcW w:type="dxa" w:w="140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5,388</w:t>
            </w:r>
          </w:p>
        </w:tc>
        <w:tc>
          <w:tcPr>
            <w:tcW w:type="dxa" w:w="476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Composite governance scores. Tier-weighted. Misallocation penalties applied.</w:t>
            </w:r>
          </w:p>
        </w:tc>
      </w:tr>
      <w:tr>
        <w:tc>
          <w:tcPr>
            <w:tcW w:type="dxa" w:w="320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cost_analysis</w:t>
            </w:r>
          </w:p>
        </w:tc>
        <w:tc>
          <w:tcPr>
            <w:tcW w:type="dxa" w:w="140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5,388</w:t>
            </w:r>
          </w:p>
        </w:tc>
        <w:tc>
          <w:tcPr>
            <w:tcW w:type="dxa" w:w="476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Per-run cost. Token-level calculation. Real pricing rates. UNIQUE(run_id).</w:t>
            </w:r>
          </w:p>
        </w:tc>
      </w:tr>
    </w:tbl>
    <w:p>
      <w:pPr>
        <w:spacing w:before="120" w:after="0"/>
      </w:pPr>
    </w:p>
    <w:p>
      <w:pPr>
        <w:pStyle w:val="Heading1"/>
        <w:spacing w:before="340" w:after="120"/>
      </w:pPr>
      <w:r>
        <w:rPr>
          <w:rFonts w:ascii="Calibri" w:cs="Calibri" w:eastAsia="Calibri" w:hAnsi="Calibri"/>
          <w:b/>
          <w:bCs/>
          <w:color w:val="1B3A6B"/>
          <w:sz w:val="28"/>
          <w:szCs w:val="28"/>
        </w:rPr>
        <w:t xml:space="preserve">5. Schema — Table by Table</w:t>
      </w:r>
    </w:p>
    <w:p>
      <w:pPr>
        <w:pStyle w:val="Heading2"/>
        <w:spacing w:before="220" w:after="80"/>
      </w:pPr>
      <w:r>
        <w:rPr>
          <w:rFonts w:ascii="Calibri" w:cs="Calibri" w:eastAsia="Calibri" w:hAnsi="Calibri"/>
          <w:b/>
          <w:bCs/>
          <w:color w:val="2E5FA3"/>
          <w:sz w:val="24"/>
          <w:szCs w:val="24"/>
        </w:rPr>
        <w:t xml:space="preserve">5.1 phonepe_transactions_staging</w:t>
      </w:r>
    </w:p>
    <w:p>
      <w:pPr>
        <w:spacing w:before="80" w:after="120" w:line="276"/>
        <w:jc w:val="both"/>
      </w:pPr>
      <w:r>
        <w:rPr>
          <w:rFonts w:ascii="Calibri" w:cs="Calibri" w:eastAsia="Calibri" w:hAnsi="Calibri"/>
          <w:color w:val="2C2C2C"/>
          <w:sz w:val="22"/>
          <w:szCs w:val="22"/>
        </w:rPr>
        <w:t xml:space="preserve">The ingestion boundary. Raw PhonePe CSV data loaded by Python. This table is never queried directly by the analytical or reporting layers. Its only consumer is the SQL CTE that builds state_kpi_summary.</w:t>
      </w:r>
    </w:p>
    <w:p>
      <w:pPr>
        <w:spacing w:before="80" w:after="0"/>
      </w:pPr>
    </w:p>
    <w:p>
      <w:pPr>
        <w:pStyle w:val="ListParagraph"/>
        <w:numPr>
          <w:ilvl w:val="0"/>
          <w:numId w:val="2"/>
        </w:numPr>
        <w:spacing w:before="60" w:after="80" w:line="260"/>
      </w:pPr>
      <w:r>
        <w:rPr>
          <w:rFonts w:ascii="Calibri" w:cs="Calibri" w:eastAsia="Calibri" w:hAnsi="Calibri"/>
          <w:b/>
          <w:bCs/>
          <w:color w:val="1B3A6B"/>
          <w:sz w:val="22"/>
          <w:szCs w:val="22"/>
        </w:rPr>
        <w:t xml:space="preserve">Rows</w:t>
      </w:r>
      <w:r>
        <w:rPr>
          <w:rFonts w:ascii="Calibri" w:cs="Calibri" w:eastAsia="Calibri" w:hAnsi="Calibri"/>
          <w:color w:val="2C2C2C"/>
          <w:sz w:val="22"/>
          <w:szCs w:val="22"/>
        </w:rPr>
        <w:t xml:space="preserve"> — 5,034</w:t>
      </w:r>
    </w:p>
    <w:p>
      <w:pPr>
        <w:pStyle w:val="ListParagraph"/>
        <w:numPr>
          <w:ilvl w:val="0"/>
          <w:numId w:val="2"/>
        </w:numPr>
        <w:spacing w:before="60" w:after="80" w:line="260"/>
      </w:pPr>
      <w:r>
        <w:rPr>
          <w:rFonts w:ascii="Calibri" w:cs="Calibri" w:eastAsia="Calibri" w:hAnsi="Calibri"/>
          <w:b/>
          <w:bCs/>
          <w:color w:val="1B3A6B"/>
          <w:sz w:val="22"/>
          <w:szCs w:val="22"/>
        </w:rPr>
        <w:t xml:space="preserve">PK</w:t>
      </w:r>
      <w:r>
        <w:rPr>
          <w:rFonts w:ascii="Calibri" w:cs="Calibri" w:eastAsia="Calibri" w:hAnsi="Calibri"/>
          <w:color w:val="2C2C2C"/>
          <w:sz w:val="22"/>
          <w:szCs w:val="22"/>
        </w:rPr>
        <w:t xml:space="preserve"> — Auto-increment surrogate key</w:t>
      </w:r>
    </w:p>
    <w:p>
      <w:pPr>
        <w:pStyle w:val="ListParagraph"/>
        <w:numPr>
          <w:ilvl w:val="0"/>
          <w:numId w:val="2"/>
        </w:numPr>
        <w:spacing w:before="60" w:after="80" w:line="260"/>
      </w:pPr>
      <w:r>
        <w:rPr>
          <w:rFonts w:ascii="Calibri" w:cs="Calibri" w:eastAsia="Calibri" w:hAnsi="Calibri"/>
          <w:b/>
          <w:bCs/>
          <w:color w:val="1B3A6B"/>
          <w:sz w:val="22"/>
          <w:szCs w:val="22"/>
        </w:rPr>
        <w:t xml:space="preserve">Key columns</w:t>
      </w:r>
      <w:r>
        <w:rPr>
          <w:rFonts w:ascii="Calibri" w:cs="Calibri" w:eastAsia="Calibri" w:hAnsi="Calibri"/>
          <w:color w:val="2C2C2C"/>
          <w:sz w:val="22"/>
          <w:szCs w:val="22"/>
        </w:rPr>
        <w:t xml:space="preserve"> — state, year, quarter, transaction_type, transaction_count, transaction_amount_rupees, region</w:t>
      </w:r>
    </w:p>
    <w:p>
      <w:pPr>
        <w:pStyle w:val="ListParagraph"/>
        <w:numPr>
          <w:ilvl w:val="0"/>
          <w:numId w:val="2"/>
        </w:numPr>
        <w:spacing w:before="60" w:after="80" w:line="260"/>
      </w:pPr>
      <w:r>
        <w:rPr>
          <w:rFonts w:ascii="Calibri" w:cs="Calibri" w:eastAsia="Calibri" w:hAnsi="Calibri"/>
          <w:b/>
          <w:bCs/>
          <w:color w:val="1B3A6B"/>
          <w:sz w:val="22"/>
          <w:szCs w:val="22"/>
        </w:rPr>
        <w:t xml:space="preserve">Design note</w:t>
      </w:r>
      <w:r>
        <w:rPr>
          <w:rFonts w:ascii="Calibri" w:cs="Calibri" w:eastAsia="Calibri" w:hAnsi="Calibri"/>
          <w:color w:val="2C2C2C"/>
          <w:sz w:val="22"/>
          <w:szCs w:val="22"/>
        </w:rPr>
        <w:t xml:space="preserve"> — No FK constraints on this table — it is the base layer. All integrity is enforced downstream.</w:t>
      </w:r>
    </w:p>
    <w:p>
      <w:pPr>
        <w:spacing w:before="120" w:after="0"/>
      </w:pPr>
    </w:p>
    <w:p>
      <w:pPr>
        <w:pStyle w:val="Heading2"/>
        <w:spacing w:before="220" w:after="80"/>
      </w:pPr>
      <w:r>
        <w:rPr>
          <w:rFonts w:ascii="Calibri" w:cs="Calibri" w:eastAsia="Calibri" w:hAnsi="Calibri"/>
          <w:b/>
          <w:bCs/>
          <w:color w:val="2E5FA3"/>
          <w:sz w:val="24"/>
          <w:szCs w:val="24"/>
        </w:rPr>
        <w:t xml:space="preserve">5.2 state_kpi_summary</w:t>
      </w:r>
    </w:p>
    <w:p>
      <w:pPr>
        <w:spacing w:before="80" w:after="120" w:line="276"/>
        <w:jc w:val="both"/>
      </w:pPr>
      <w:r>
        <w:rPr>
          <w:rFonts w:ascii="Calibri" w:cs="Calibri" w:eastAsia="Calibri" w:hAnsi="Calibri"/>
          <w:color w:val="2C2C2C"/>
          <w:sz w:val="22"/>
          <w:szCs w:val="22"/>
        </w:rPr>
        <w:t xml:space="preserve">The analytical foundation. Every LLM experiment run is anchored to a state-year KPI record. This table represents what the LLM is being asked to analyze — real PhonePe transaction performance data.</w:t>
      </w:r>
    </w:p>
    <w:p>
      <w:pPr>
        <w:spacing w:before="80" w:after="0"/>
      </w:pPr>
    </w:p>
    <w:p>
      <w:pPr>
        <w:pStyle w:val="ListParagraph"/>
        <w:numPr>
          <w:ilvl w:val="0"/>
          <w:numId w:val="2"/>
        </w:numPr>
        <w:spacing w:before="60" w:after="80" w:line="260"/>
      </w:pPr>
      <w:r>
        <w:rPr>
          <w:rFonts w:ascii="Calibri" w:cs="Calibri" w:eastAsia="Calibri" w:hAnsi="Calibri"/>
          <w:b/>
          <w:bCs/>
          <w:color w:val="1B3A6B"/>
          <w:sz w:val="22"/>
          <w:szCs w:val="22"/>
        </w:rPr>
        <w:t xml:space="preserve">Rows</w:t>
      </w:r>
      <w:r>
        <w:rPr>
          <w:rFonts w:ascii="Calibri" w:cs="Calibri" w:eastAsia="Calibri" w:hAnsi="Calibri"/>
          <w:color w:val="2C2C2C"/>
          <w:sz w:val="22"/>
          <w:szCs w:val="22"/>
        </w:rPr>
        <w:t xml:space="preserve"> — 252 — one per state-year combination</w:t>
      </w:r>
    </w:p>
    <w:p>
      <w:pPr>
        <w:pStyle w:val="ListParagraph"/>
        <w:numPr>
          <w:ilvl w:val="0"/>
          <w:numId w:val="2"/>
        </w:numPr>
        <w:spacing w:before="60" w:after="80" w:line="260"/>
      </w:pPr>
      <w:r>
        <w:rPr>
          <w:rFonts w:ascii="Calibri" w:cs="Calibri" w:eastAsia="Calibri" w:hAnsi="Calibri"/>
          <w:b/>
          <w:bCs/>
          <w:color w:val="1B3A6B"/>
          <w:sz w:val="22"/>
          <w:szCs w:val="22"/>
        </w:rPr>
        <w:t xml:space="preserve">PK</w:t>
      </w:r>
      <w:r>
        <w:rPr>
          <w:rFonts w:ascii="Calibri" w:cs="Calibri" w:eastAsia="Calibri" w:hAnsi="Calibri"/>
          <w:color w:val="2C2C2C"/>
          <w:sz w:val="22"/>
          <w:szCs w:val="22"/>
        </w:rPr>
        <w:t xml:space="preserve"> — Composite — (state, year)</w:t>
      </w:r>
    </w:p>
    <w:p>
      <w:pPr>
        <w:pStyle w:val="ListParagraph"/>
        <w:numPr>
          <w:ilvl w:val="0"/>
          <w:numId w:val="2"/>
        </w:numPr>
        <w:spacing w:before="60" w:after="80" w:line="260"/>
      </w:pPr>
      <w:r>
        <w:rPr>
          <w:rFonts w:ascii="Calibri" w:cs="Calibri" w:eastAsia="Calibri" w:hAnsi="Calibri"/>
          <w:b/>
          <w:bCs/>
          <w:color w:val="1B3A6B"/>
          <w:sz w:val="22"/>
          <w:szCs w:val="22"/>
        </w:rPr>
        <w:t xml:space="preserve">Key columns</w:t>
      </w:r>
      <w:r>
        <w:rPr>
          <w:rFonts w:ascii="Calibri" w:cs="Calibri" w:eastAsia="Calibri" w:hAnsi="Calibri"/>
          <w:color w:val="2C2C2C"/>
          <w:sz w:val="22"/>
          <w:szCs w:val="22"/>
        </w:rPr>
        <w:t xml:space="preserve"> — yoy_value_growth, yoy_count_growth, state_value_rank, anomaly_flag, kpi_hash</w:t>
      </w:r>
    </w:p>
    <w:p>
      <w:pPr>
        <w:pStyle w:val="ListParagraph"/>
        <w:numPr>
          <w:ilvl w:val="0"/>
          <w:numId w:val="2"/>
        </w:numPr>
        <w:spacing w:before="60" w:after="80" w:line="260"/>
      </w:pPr>
      <w:r>
        <w:rPr>
          <w:rFonts w:ascii="Calibri" w:cs="Calibri" w:eastAsia="Calibri" w:hAnsi="Calibri"/>
          <w:b/>
          <w:bCs/>
          <w:color w:val="1B3A6B"/>
          <w:sz w:val="22"/>
          <w:szCs w:val="22"/>
        </w:rPr>
        <w:t xml:space="preserve">Design note</w:t>
      </w:r>
      <w:r>
        <w:rPr>
          <w:rFonts w:ascii="Calibri" w:cs="Calibri" w:eastAsia="Calibri" w:hAnsi="Calibri"/>
          <w:color w:val="2C2C2C"/>
          <w:sz w:val="22"/>
          <w:szCs w:val="22"/>
        </w:rPr>
        <w:t xml:space="preserve"> — Composite PK enforces uniqueness at the schema level. kpi_hash enables change detection without a separate audit table.</w:t>
      </w:r>
    </w:p>
    <w:p>
      <w:pPr>
        <w:spacing w:before="120" w:after="0"/>
      </w:pPr>
    </w:p>
    <w:p>
      <w:pPr>
        <w:pStyle w:val="Heading2"/>
        <w:spacing w:before="220" w:after="80"/>
      </w:pPr>
      <w:r>
        <w:rPr>
          <w:rFonts w:ascii="Calibri" w:cs="Calibri" w:eastAsia="Calibri" w:hAnsi="Calibri"/>
          <w:b/>
          <w:bCs/>
          <w:color w:val="2E5FA3"/>
          <w:sz w:val="24"/>
          <w:szCs w:val="24"/>
        </w:rPr>
        <w:t xml:space="preserve">5.3 prompt_versions</w:t>
      </w:r>
    </w:p>
    <w:p>
      <w:pPr>
        <w:spacing w:before="80" w:after="120" w:line="276"/>
        <w:jc w:val="both"/>
      </w:pPr>
      <w:r>
        <w:rPr>
          <w:rFonts w:ascii="Calibri" w:cs="Calibri" w:eastAsia="Calibri" w:hAnsi="Calibri"/>
          <w:color w:val="2C2C2C"/>
          <w:sz w:val="22"/>
          <w:szCs w:val="22"/>
        </w:rPr>
        <w:t xml:space="preserve">The governance tier registry. Defines what type of LLM task is being run and what governance standard applies. Six rows — three workload types, two versions each.</w:t>
      </w:r>
    </w:p>
    <w:p>
      <w:pPr>
        <w:spacing w:before="80" w:after="0"/>
      </w:pPr>
    </w:p>
    <w:p>
      <w:pPr>
        <w:pBdr>
          <w:left w:val="single" w:color="2E5FA3" w:sz="12" w:space="6"/>
        </w:pBdr>
        <w:shd w:fill="F0F4FA" w:val="clear"/>
        <w:spacing w:before="40" w:after="40"/>
        <w:ind w:left="360"/>
      </w:pPr>
      <w:r>
        <w:rPr>
          <w:rFonts w:ascii="Courier New" w:cs="Courier New" w:eastAsia="Courier New" w:hAnsi="Courier New"/>
          <w:color w:val="1A1A2E"/>
          <w:sz w:val="18"/>
          <w:szCs w:val="18"/>
        </w:rPr>
        <w:t xml:space="preserve">exploratory_report  v1, v2  →  governance_level: exploratory</w:t>
      </w:r>
    </w:p>
    <w:p>
      <w:pPr>
        <w:pBdr>
          <w:left w:val="single" w:color="2E5FA3" w:sz="12" w:space="6"/>
        </w:pBdr>
        <w:shd w:fill="F0F4FA" w:val="clear"/>
        <w:spacing w:before="40" w:after="40"/>
        <w:ind w:left="360"/>
      </w:pPr>
      <w:r>
        <w:rPr>
          <w:rFonts w:ascii="Courier New" w:cs="Courier New" w:eastAsia="Courier New" w:hAnsi="Courier New"/>
          <w:color w:val="1A1A2E"/>
          <w:sz w:val="18"/>
          <w:szCs w:val="18"/>
        </w:rPr>
        <w:t xml:space="preserve">analytical_report   v1, v2  →  governance_level: analytical</w:t>
      </w:r>
    </w:p>
    <w:p>
      <w:pPr>
        <w:pBdr>
          <w:left w:val="single" w:color="2E5FA3" w:sz="12" w:space="6"/>
        </w:pBdr>
        <w:shd w:fill="F0F4FA" w:val="clear"/>
        <w:spacing w:before="40" w:after="40"/>
        <w:ind w:left="360"/>
      </w:pPr>
      <w:r>
        <w:rPr>
          <w:rFonts w:ascii="Courier New" w:cs="Courier New" w:eastAsia="Courier New" w:hAnsi="Courier New"/>
          <w:color w:val="1A1A2E"/>
          <w:sz w:val="18"/>
          <w:szCs w:val="18"/>
        </w:rPr>
        <w:t xml:space="preserve">compliance_report   v1, v2  →  governance_level: compliance_grade</w:t>
      </w:r>
    </w:p>
    <w:p>
      <w:pPr>
        <w:spacing w:before="120" w:after="0"/>
      </w:pPr>
    </w:p>
    <w:p>
      <w:pPr>
        <w:pStyle w:val="Heading2"/>
        <w:spacing w:before="220" w:after="80"/>
      </w:pPr>
      <w:r>
        <w:rPr>
          <w:rFonts w:ascii="Calibri" w:cs="Calibri" w:eastAsia="Calibri" w:hAnsi="Calibri"/>
          <w:b/>
          <w:bCs/>
          <w:color w:val="2E5FA3"/>
          <w:sz w:val="24"/>
          <w:szCs w:val="24"/>
        </w:rPr>
        <w:t xml:space="preserve">5.4 model_versions</w:t>
      </w:r>
    </w:p>
    <w:p>
      <w:pPr>
        <w:spacing w:before="80" w:after="120" w:line="276"/>
        <w:jc w:val="both"/>
      </w:pPr>
      <w:r>
        <w:rPr>
          <w:rFonts w:ascii="Calibri" w:cs="Calibri" w:eastAsia="Calibri" w:hAnsi="Calibri"/>
          <w:color w:val="2C2C2C"/>
          <w:sz w:val="22"/>
          <w:szCs w:val="22"/>
        </w:rPr>
        <w:t xml:space="preserve">The model registry. Ten models across five providers. Each row stores the model name, provider, tier classification, and real published pricing rates for 2026. This table is the pricing source of truth for all cost calculations.</w:t>
      </w:r>
    </w:p>
    <w:p>
      <w:pPr>
        <w:spacing w:before="80" w:after="0"/>
      </w:pPr>
    </w:p>
    <w:p>
      <w:pPr>
        <w:pStyle w:val="ListParagraph"/>
        <w:numPr>
          <w:ilvl w:val="0"/>
          <w:numId w:val="2"/>
        </w:numPr>
        <w:spacing w:before="60" w:after="80" w:line="260"/>
      </w:pPr>
      <w:r>
        <w:rPr>
          <w:rFonts w:ascii="Calibri" w:cs="Calibri" w:eastAsia="Calibri" w:hAnsi="Calibri"/>
          <w:b/>
          <w:bCs/>
          <w:color w:val="1B3A6B"/>
          <w:sz w:val="22"/>
          <w:szCs w:val="22"/>
        </w:rPr>
        <w:t xml:space="preserve">Rows</w:t>
      </w:r>
      <w:r>
        <w:rPr>
          <w:rFonts w:ascii="Calibri" w:cs="Calibri" w:eastAsia="Calibri" w:hAnsi="Calibri"/>
          <w:color w:val="2C2C2C"/>
          <w:sz w:val="22"/>
          <w:szCs w:val="22"/>
        </w:rPr>
        <w:t xml:space="preserve"> — 10</w:t>
      </w:r>
    </w:p>
    <w:p>
      <w:pPr>
        <w:pStyle w:val="ListParagraph"/>
        <w:numPr>
          <w:ilvl w:val="0"/>
          <w:numId w:val="2"/>
        </w:numPr>
        <w:spacing w:before="60" w:after="80" w:line="260"/>
      </w:pPr>
      <w:r>
        <w:rPr>
          <w:rFonts w:ascii="Calibri" w:cs="Calibri" w:eastAsia="Calibri" w:hAnsi="Calibri"/>
          <w:b/>
          <w:bCs/>
          <w:color w:val="1B3A6B"/>
          <w:sz w:val="22"/>
          <w:szCs w:val="22"/>
        </w:rPr>
        <w:t xml:space="preserve">Tiers</w:t>
      </w:r>
      <w:r>
        <w:rPr>
          <w:rFonts w:ascii="Calibri" w:cs="Calibri" w:eastAsia="Calibri" w:hAnsi="Calibri"/>
          <w:color w:val="2C2C2C"/>
          <w:sz w:val="22"/>
          <w:szCs w:val="22"/>
        </w:rPr>
        <w:t xml:space="preserve"> — lightweight, balanced, enterprise</w:t>
      </w:r>
    </w:p>
    <w:p>
      <w:pPr>
        <w:pStyle w:val="ListParagraph"/>
        <w:numPr>
          <w:ilvl w:val="0"/>
          <w:numId w:val="2"/>
        </w:numPr>
        <w:spacing w:before="60" w:after="80" w:line="260"/>
      </w:pPr>
      <w:r>
        <w:rPr>
          <w:rFonts w:ascii="Calibri" w:cs="Calibri" w:eastAsia="Calibri" w:hAnsi="Calibri"/>
          <w:b/>
          <w:bCs/>
          <w:color w:val="1B3A6B"/>
          <w:sz w:val="22"/>
          <w:szCs w:val="22"/>
        </w:rPr>
        <w:t xml:space="preserve">Pricing fields</w:t>
      </w:r>
      <w:r>
        <w:rPr>
          <w:rFonts w:ascii="Calibri" w:cs="Calibri" w:eastAsia="Calibri" w:hAnsi="Calibri"/>
          <w:color w:val="2C2C2C"/>
          <w:sz w:val="22"/>
          <w:szCs w:val="22"/>
        </w:rPr>
        <w:t xml:space="preserve"> — input_cost_per_1k_tokens, output_cost_per_1k_tokens — DECIMAL precision</w:t>
      </w:r>
    </w:p>
    <w:p>
      <w:pPr>
        <w:pStyle w:val="ListParagraph"/>
        <w:numPr>
          <w:ilvl w:val="0"/>
          <w:numId w:val="2"/>
        </w:numPr>
        <w:spacing w:before="60" w:after="80" w:line="260"/>
      </w:pPr>
      <w:r>
        <w:rPr>
          <w:rFonts w:ascii="Calibri" w:cs="Calibri" w:eastAsia="Calibri" w:hAnsi="Calibri"/>
          <w:b/>
          <w:bCs/>
          <w:color w:val="1B3A6B"/>
          <w:sz w:val="22"/>
          <w:szCs w:val="22"/>
        </w:rPr>
        <w:t xml:space="preserve">Pricing version</w:t>
      </w:r>
      <w:r>
        <w:rPr>
          <w:rFonts w:ascii="Calibri" w:cs="Calibri" w:eastAsia="Calibri" w:hAnsi="Calibri"/>
          <w:color w:val="2C2C2C"/>
          <w:sz w:val="22"/>
          <w:szCs w:val="22"/>
        </w:rPr>
        <w:t xml:space="preserve"> — 2026_base — real published rates, not estimates</w:t>
      </w:r>
    </w:p>
    <w:p>
      <w:pPr>
        <w:spacing w:before="120" w:after="0"/>
      </w:pPr>
    </w:p>
    <w:p>
      <w:pPr>
        <w:pStyle w:val="Heading2"/>
        <w:spacing w:before="220" w:after="80"/>
      </w:pPr>
      <w:r>
        <w:rPr>
          <w:rFonts w:ascii="Calibri" w:cs="Calibri" w:eastAsia="Calibri" w:hAnsi="Calibri"/>
          <w:b/>
          <w:bCs/>
          <w:color w:val="2E5FA3"/>
          <w:sz w:val="24"/>
          <w:szCs w:val="24"/>
        </w:rPr>
        <w:t xml:space="preserve">5.5 experiment_runs</w:t>
      </w:r>
    </w:p>
    <w:p>
      <w:pPr>
        <w:spacing w:before="80" w:after="120" w:line="276"/>
        <w:jc w:val="both"/>
      </w:pPr>
      <w:r>
        <w:rPr>
          <w:rFonts w:ascii="Calibri" w:cs="Calibri" w:eastAsia="Calibri" w:hAnsi="Calibri"/>
          <w:color w:val="2C2C2C"/>
          <w:sz w:val="22"/>
          <w:szCs w:val="22"/>
        </w:rPr>
        <w:t xml:space="preserve">The core of the benchmarking layer. Every experiment run links a state-year KPI record to a model and a prompt. Token counts and latency are generated with provider-based variance offsets to simulate realistic distribution.</w:t>
      </w:r>
    </w:p>
    <w:p>
      <w:pPr>
        <w:spacing w:before="80" w:after="0"/>
      </w:pPr>
    </w:p>
    <w:p>
      <w:pPr>
        <w:pStyle w:val="ListParagraph"/>
        <w:numPr>
          <w:ilvl w:val="0"/>
          <w:numId w:val="2"/>
        </w:numPr>
        <w:spacing w:before="60" w:after="80" w:line="260"/>
      </w:pPr>
      <w:r>
        <w:rPr>
          <w:rFonts w:ascii="Calibri" w:cs="Calibri" w:eastAsia="Calibri" w:hAnsi="Calibri"/>
          <w:b/>
          <w:bCs/>
          <w:color w:val="1B3A6B"/>
          <w:sz w:val="22"/>
          <w:szCs w:val="22"/>
        </w:rPr>
        <w:t xml:space="preserve">Rows</w:t>
      </w:r>
      <w:r>
        <w:rPr>
          <w:rFonts w:ascii="Calibri" w:cs="Calibri" w:eastAsia="Calibri" w:hAnsi="Calibri"/>
          <w:color w:val="2C2C2C"/>
          <w:sz w:val="22"/>
          <w:szCs w:val="22"/>
        </w:rPr>
        <w:t xml:space="preserve"> — 5,388</w:t>
      </w:r>
    </w:p>
    <w:p>
      <w:pPr>
        <w:pStyle w:val="ListParagraph"/>
        <w:numPr>
          <w:ilvl w:val="0"/>
          <w:numId w:val="2"/>
        </w:numPr>
        <w:spacing w:before="60" w:after="80" w:line="260"/>
      </w:pPr>
      <w:r>
        <w:rPr>
          <w:rFonts w:ascii="Calibri" w:cs="Calibri" w:eastAsia="Calibri" w:hAnsi="Calibri"/>
          <w:b/>
          <w:bCs/>
          <w:color w:val="1B3A6B"/>
          <w:sz w:val="22"/>
          <w:szCs w:val="22"/>
        </w:rPr>
        <w:t xml:space="preserve">FKs</w:t>
      </w:r>
      <w:r>
        <w:rPr>
          <w:rFonts w:ascii="Calibri" w:cs="Calibri" w:eastAsia="Calibri" w:hAnsi="Calibri"/>
          <w:color w:val="2C2C2C"/>
          <w:sz w:val="22"/>
          <w:szCs w:val="22"/>
        </w:rPr>
        <w:t xml:space="preserve"> — model_id, prompt_id, (state, year) — all enforced</w:t>
      </w:r>
    </w:p>
    <w:p>
      <w:pPr>
        <w:pStyle w:val="ListParagraph"/>
        <w:numPr>
          <w:ilvl w:val="0"/>
          <w:numId w:val="2"/>
        </w:numPr>
        <w:spacing w:before="60" w:after="80" w:line="260"/>
      </w:pPr>
      <w:r>
        <w:rPr>
          <w:rFonts w:ascii="Calibri" w:cs="Calibri" w:eastAsia="Calibri" w:hAnsi="Calibri"/>
          <w:b/>
          <w:bCs/>
          <w:color w:val="1B3A6B"/>
          <w:sz w:val="22"/>
          <w:szCs w:val="22"/>
        </w:rPr>
        <w:t xml:space="preserve">Compliant runs</w:t>
      </w:r>
      <w:r>
        <w:rPr>
          <w:rFonts w:ascii="Calibri" w:cs="Calibri" w:eastAsia="Calibri" w:hAnsi="Calibri"/>
          <w:color w:val="2C2C2C"/>
          <w:sz w:val="22"/>
          <w:szCs w:val="22"/>
        </w:rPr>
        <w:t xml:space="preserve"> — 3,772 — 70% — model tier matches governance workload</w:t>
      </w:r>
    </w:p>
    <w:p>
      <w:pPr>
        <w:pStyle w:val="ListParagraph"/>
        <w:numPr>
          <w:ilvl w:val="0"/>
          <w:numId w:val="2"/>
        </w:numPr>
        <w:spacing w:before="60" w:after="80" w:line="260"/>
      </w:pPr>
      <w:r>
        <w:rPr>
          <w:rFonts w:ascii="Calibri" w:cs="Calibri" w:eastAsia="Calibri" w:hAnsi="Calibri"/>
          <w:b/>
          <w:bCs/>
          <w:color w:val="1B3A6B"/>
          <w:sz w:val="22"/>
          <w:szCs w:val="22"/>
        </w:rPr>
        <w:t xml:space="preserve">Misallocated runs</w:t>
      </w:r>
      <w:r>
        <w:rPr>
          <w:rFonts w:ascii="Calibri" w:cs="Calibri" w:eastAsia="Calibri" w:hAnsi="Calibri"/>
          <w:color w:val="2C2C2C"/>
          <w:sz w:val="22"/>
          <w:szCs w:val="22"/>
        </w:rPr>
        <w:t xml:space="preserve"> — 1,616 — 30% — model tier does not match workload requirement</w:t>
      </w:r>
    </w:p>
    <w:p>
      <w:pPr>
        <w:pStyle w:val="ListParagraph"/>
        <w:numPr>
          <w:ilvl w:val="0"/>
          <w:numId w:val="2"/>
        </w:numPr>
        <w:spacing w:before="60" w:after="80" w:line="260"/>
      </w:pPr>
      <w:r>
        <w:rPr>
          <w:rFonts w:ascii="Calibri" w:cs="Calibri" w:eastAsia="Calibri" w:hAnsi="Calibri"/>
          <w:b/>
          <w:bCs/>
          <w:color w:val="1B3A6B"/>
          <w:sz w:val="22"/>
          <w:szCs w:val="22"/>
        </w:rPr>
        <w:t xml:space="preserve">Split logic</w:t>
      </w:r>
      <w:r>
        <w:rPr>
          <w:rFonts w:ascii="Calibri" w:cs="Calibri" w:eastAsia="Calibri" w:hAnsi="Calibri"/>
          <w:color w:val="2C2C2C"/>
          <w:sz w:val="22"/>
          <w:szCs w:val="22"/>
        </w:rPr>
        <w:t xml:space="preserve"> — MOD(run_id, 10) &lt;= 6 → compliant. MOD(run_id, 10) &gt; 6 → misallocated</w:t>
      </w:r>
    </w:p>
    <w:p>
      <w:pPr>
        <w:spacing w:before="120" w:after="0"/>
      </w:pPr>
    </w:p>
    <w:p>
      <w:pPr>
        <w:pStyle w:val="Heading2"/>
        <w:spacing w:before="220" w:after="80"/>
      </w:pPr>
      <w:r>
        <w:rPr>
          <w:rFonts w:ascii="Calibri" w:cs="Calibri" w:eastAsia="Calibri" w:hAnsi="Calibri"/>
          <w:b/>
          <w:bCs/>
          <w:color w:val="2E5FA3"/>
          <w:sz w:val="24"/>
          <w:szCs w:val="24"/>
        </w:rPr>
        <w:t xml:space="preserve">5.6 evaluation_results</w:t>
      </w:r>
    </w:p>
    <w:p>
      <w:pPr>
        <w:spacing w:before="80" w:after="120" w:line="276"/>
        <w:jc w:val="both"/>
      </w:pPr>
      <w:r>
        <w:rPr>
          <w:rFonts w:ascii="Calibri" w:cs="Calibri" w:eastAsia="Calibri" w:hAnsi="Calibri"/>
          <w:color w:val="2C2C2C"/>
          <w:sz w:val="22"/>
          <w:szCs w:val="22"/>
        </w:rPr>
        <w:t xml:space="preserve">One scoring record per experiment run. The composite governance score is computed using tier-specific weights. Provider score profiles create realistic variance between providers. Misallocation penalty is applied to all runs where model tier does not match the governance workload.</w:t>
      </w:r>
    </w:p>
    <w:p>
      <w:pPr>
        <w:spacing w:before="80" w:after="0"/>
      </w:pPr>
    </w:p>
    <w:p>
      <w:pPr>
        <w:pStyle w:val="ListParagraph"/>
        <w:numPr>
          <w:ilvl w:val="0"/>
          <w:numId w:val="2"/>
        </w:numPr>
        <w:spacing w:before="60" w:after="80" w:line="260"/>
      </w:pPr>
      <w:r>
        <w:rPr>
          <w:rFonts w:ascii="Calibri" w:cs="Calibri" w:eastAsia="Calibri" w:hAnsi="Calibri"/>
          <w:b/>
          <w:bCs/>
          <w:color w:val="1B3A6B"/>
          <w:sz w:val="22"/>
          <w:szCs w:val="22"/>
        </w:rPr>
        <w:t xml:space="preserve">Rows</w:t>
      </w:r>
      <w:r>
        <w:rPr>
          <w:rFonts w:ascii="Calibri" w:cs="Calibri" w:eastAsia="Calibri" w:hAnsi="Calibri"/>
          <w:color w:val="2C2C2C"/>
          <w:sz w:val="22"/>
          <w:szCs w:val="22"/>
        </w:rPr>
        <w:t xml:space="preserve"> — 5,388 — one per run, enforced by FK</w:t>
      </w:r>
    </w:p>
    <w:p>
      <w:pPr>
        <w:pStyle w:val="ListParagraph"/>
        <w:numPr>
          <w:ilvl w:val="0"/>
          <w:numId w:val="2"/>
        </w:numPr>
        <w:spacing w:before="60" w:after="80" w:line="260"/>
      </w:pPr>
      <w:r>
        <w:rPr>
          <w:rFonts w:ascii="Calibri" w:cs="Calibri" w:eastAsia="Calibri" w:hAnsi="Calibri"/>
          <w:b/>
          <w:bCs/>
          <w:color w:val="1B3A6B"/>
          <w:sz w:val="22"/>
          <w:szCs w:val="22"/>
        </w:rPr>
        <w:t xml:space="preserve">Score range</w:t>
      </w:r>
      <w:r>
        <w:rPr>
          <w:rFonts w:ascii="Calibri" w:cs="Calibri" w:eastAsia="Calibri" w:hAnsi="Calibri"/>
          <w:color w:val="2C2C2C"/>
          <w:sz w:val="22"/>
          <w:szCs w:val="22"/>
        </w:rPr>
        <w:t xml:space="preserve"> — 0 to 100</w:t>
      </w:r>
    </w:p>
    <w:p>
      <w:pPr>
        <w:pStyle w:val="ListParagraph"/>
        <w:numPr>
          <w:ilvl w:val="0"/>
          <w:numId w:val="2"/>
        </w:numPr>
        <w:spacing w:before="60" w:after="80" w:line="260"/>
      </w:pPr>
      <w:r>
        <w:rPr>
          <w:rFonts w:ascii="Calibri" w:cs="Calibri" w:eastAsia="Calibri" w:hAnsi="Calibri"/>
          <w:b/>
          <w:bCs/>
          <w:color w:val="1B3A6B"/>
          <w:sz w:val="22"/>
          <w:szCs w:val="22"/>
        </w:rPr>
        <w:t xml:space="preserve">Components</w:t>
      </w:r>
      <w:r>
        <w:rPr>
          <w:rFonts w:ascii="Calibri" w:cs="Calibri" w:eastAsia="Calibri" w:hAnsi="Calibri"/>
          <w:color w:val="2C2C2C"/>
          <w:sz w:val="22"/>
          <w:szCs w:val="22"/>
        </w:rPr>
        <w:t xml:space="preserve"> — accuracy_score, structural_score, hallucination_score — all stored individually</w:t>
      </w:r>
    </w:p>
    <w:p>
      <w:pPr>
        <w:pStyle w:val="ListParagraph"/>
        <w:numPr>
          <w:ilvl w:val="0"/>
          <w:numId w:val="2"/>
        </w:numPr>
        <w:spacing w:before="60" w:after="80" w:line="260"/>
      </w:pPr>
      <w:r>
        <w:rPr>
          <w:rFonts w:ascii="Calibri" w:cs="Calibri" w:eastAsia="Calibri" w:hAnsi="Calibri"/>
          <w:b/>
          <w:bCs/>
          <w:color w:val="1B3A6B"/>
          <w:sz w:val="22"/>
          <w:szCs w:val="22"/>
        </w:rPr>
        <w:t xml:space="preserve">Composite</w:t>
      </w:r>
      <w:r>
        <w:rPr>
          <w:rFonts w:ascii="Calibri" w:cs="Calibri" w:eastAsia="Calibri" w:hAnsi="Calibri"/>
          <w:color w:val="2C2C2C"/>
          <w:sz w:val="22"/>
          <w:szCs w:val="22"/>
        </w:rPr>
        <w:t xml:space="preserve"> — Tier-weighted combination of all three components</w:t>
      </w:r>
    </w:p>
    <w:p>
      <w:pPr>
        <w:pStyle w:val="ListParagraph"/>
        <w:numPr>
          <w:ilvl w:val="0"/>
          <w:numId w:val="2"/>
        </w:numPr>
        <w:spacing w:before="60" w:after="80" w:line="260"/>
      </w:pPr>
      <w:r>
        <w:rPr>
          <w:rFonts w:ascii="Calibri" w:cs="Calibri" w:eastAsia="Calibri" w:hAnsi="Calibri"/>
          <w:b/>
          <w:bCs/>
          <w:color w:val="1B3A6B"/>
          <w:sz w:val="22"/>
          <w:szCs w:val="22"/>
        </w:rPr>
        <w:t xml:space="preserve">Penalty</w:t>
      </w:r>
      <w:r>
        <w:rPr>
          <w:rFonts w:ascii="Calibri" w:cs="Calibri" w:eastAsia="Calibri" w:hAnsi="Calibri"/>
          <w:color w:val="2C2C2C"/>
          <w:sz w:val="22"/>
          <w:szCs w:val="22"/>
        </w:rPr>
        <w:t xml:space="preserve"> — Misallocation penalty applied at scoring time — not retroactively</w:t>
      </w:r>
    </w:p>
    <w:p>
      <w:pPr>
        <w:spacing w:before="120" w:after="0"/>
      </w:pPr>
    </w:p>
    <w:p>
      <w:pPr>
        <w:pStyle w:val="Heading2"/>
        <w:spacing w:before="220" w:after="80"/>
      </w:pPr>
      <w:r>
        <w:rPr>
          <w:rFonts w:ascii="Calibri" w:cs="Calibri" w:eastAsia="Calibri" w:hAnsi="Calibri"/>
          <w:b/>
          <w:bCs/>
          <w:color w:val="2E5FA3"/>
          <w:sz w:val="24"/>
          <w:szCs w:val="24"/>
        </w:rPr>
        <w:t xml:space="preserve">5.7 cost_analysis</w:t>
      </w:r>
    </w:p>
    <w:p>
      <w:pPr>
        <w:spacing w:before="80" w:after="120" w:line="276"/>
        <w:jc w:val="both"/>
      </w:pPr>
      <w:r>
        <w:rPr>
          <w:rFonts w:ascii="Calibri" w:cs="Calibri" w:eastAsia="Calibri" w:hAnsi="Calibri"/>
          <w:color w:val="2C2C2C"/>
          <w:sz w:val="22"/>
          <w:szCs w:val="22"/>
        </w:rPr>
        <w:t xml:space="preserve">One cost record per experiment run. The most constrained table in the schema — UNIQUE(run_id) ensures no double-counting is possible at the database level.</w:t>
      </w:r>
    </w:p>
    <w:p>
      <w:pPr>
        <w:spacing w:before="80" w:after="0"/>
      </w:pPr>
    </w:p>
    <w:p>
      <w:pPr>
        <w:pBdr>
          <w:left w:val="single" w:color="2E5FA3" w:sz="12" w:space="6"/>
        </w:pBdr>
        <w:shd w:fill="F0F4FA" w:val="clear"/>
        <w:spacing w:before="40" w:after="40"/>
        <w:ind w:left="360"/>
      </w:pPr>
      <w:r>
        <w:rPr>
          <w:rFonts w:ascii="Courier New" w:cs="Courier New" w:eastAsia="Courier New" w:hAnsi="Courier New"/>
          <w:color w:val="1A1A2E"/>
          <w:sz w:val="18"/>
          <w:szCs w:val="18"/>
        </w:rPr>
        <w:t xml:space="preserve">run_cost = (input_tokens / 1000  * input_cost_per_1k)</w:t>
      </w:r>
    </w:p>
    <w:p>
      <w:pPr>
        <w:pBdr>
          <w:left w:val="single" w:color="2E5FA3" w:sz="12" w:space="6"/>
        </w:pBdr>
        <w:shd w:fill="F0F4FA" w:val="clear"/>
        <w:spacing w:before="40" w:after="40"/>
        <w:ind w:left="360"/>
      </w:pPr>
      <w:r>
        <w:rPr>
          <w:rFonts w:ascii="Courier New" w:cs="Courier New" w:eastAsia="Courier New" w:hAnsi="Courier New"/>
          <w:color w:val="1A1A2E"/>
          <w:sz w:val="18"/>
          <w:szCs w:val="18"/>
        </w:rPr>
        <w:t xml:space="preserve">         + (output_tokens / 1000 * output_cost_per_1k)</w:t>
      </w:r>
    </w:p>
    <w:p>
      <w:pPr>
        <w:pBdr>
          <w:left w:val="single" w:color="2E5FA3" w:sz="12" w:space="6"/>
        </w:pBdr>
        <w:shd w:fill="F0F4FA" w:val="clear"/>
        <w:spacing w:before="40" w:after="40"/>
        <w:ind w:left="360"/>
      </w:pPr>
      <w:r>
        <w:rPr>
          <w:rFonts w:ascii="Courier New" w:cs="Courier New" w:eastAsia="Courier New" w:hAnsi="Courier New"/>
          <w:color w:val="1A1A2E"/>
          <w:sz w:val="18"/>
          <w:szCs w:val="18"/>
        </w:rPr>
        <w:t xml:space="preserve"/>
      </w:r>
    </w:p>
    <w:p>
      <w:pPr>
        <w:pBdr>
          <w:left w:val="single" w:color="2E5FA3" w:sz="12" w:space="6"/>
        </w:pBdr>
        <w:shd w:fill="F0F4FA" w:val="clear"/>
        <w:spacing w:before="40" w:after="40"/>
        <w:ind w:left="360"/>
      </w:pPr>
      <w:r>
        <w:rPr>
          <w:rFonts w:ascii="Courier New" w:cs="Courier New" w:eastAsia="Courier New" w:hAnsi="Courier New"/>
          <w:color w:val="1A1A2E"/>
          <w:sz w:val="18"/>
          <w:szCs w:val="18"/>
        </w:rPr>
        <w:t xml:space="preserve">cost_waste = actual_run_cost - benchmark_compliant_cost</w:t>
      </w:r>
    </w:p>
    <w:p>
      <w:pPr>
        <w:spacing w:before="80" w:after="0"/>
      </w:pPr>
    </w:p>
    <w:p>
      <w:pPr>
        <w:pStyle w:val="ListParagraph"/>
        <w:numPr>
          <w:ilvl w:val="0"/>
          <w:numId w:val="2"/>
        </w:numPr>
        <w:spacing w:before="60" w:after="80" w:line="260"/>
      </w:pPr>
      <w:r>
        <w:rPr>
          <w:rFonts w:ascii="Calibri" w:cs="Calibri" w:eastAsia="Calibri" w:hAnsi="Calibri"/>
          <w:b/>
          <w:bCs/>
          <w:color w:val="1B3A6B"/>
          <w:sz w:val="22"/>
          <w:szCs w:val="22"/>
        </w:rPr>
        <w:t xml:space="preserve">Rows</w:t>
      </w:r>
      <w:r>
        <w:rPr>
          <w:rFonts w:ascii="Calibri" w:cs="Calibri" w:eastAsia="Calibri" w:hAnsi="Calibri"/>
          <w:color w:val="2C2C2C"/>
          <w:sz w:val="22"/>
          <w:szCs w:val="22"/>
        </w:rPr>
        <w:t xml:space="preserve"> — 5,388 — UNIQUE(run_id) enforced</w:t>
      </w:r>
    </w:p>
    <w:p>
      <w:pPr>
        <w:pStyle w:val="ListParagraph"/>
        <w:numPr>
          <w:ilvl w:val="0"/>
          <w:numId w:val="2"/>
        </w:numPr>
        <w:spacing w:before="60" w:after="80" w:line="260"/>
      </w:pPr>
      <w:r>
        <w:rPr>
          <w:rFonts w:ascii="Calibri" w:cs="Calibri" w:eastAsia="Calibri" w:hAnsi="Calibri"/>
          <w:b/>
          <w:bCs/>
          <w:color w:val="1B3A6B"/>
          <w:sz w:val="22"/>
          <w:szCs w:val="22"/>
        </w:rPr>
        <w:t xml:space="preserve">Precision</w:t>
      </w:r>
      <w:r>
        <w:rPr>
          <w:rFonts w:ascii="Calibri" w:cs="Calibri" w:eastAsia="Calibri" w:hAnsi="Calibri"/>
          <w:color w:val="2C2C2C"/>
          <w:sz w:val="22"/>
          <w:szCs w:val="22"/>
        </w:rPr>
        <w:t xml:space="preserve"> — DECIMAL(10,6) for all cost fields — no FLOAT</w:t>
      </w:r>
    </w:p>
    <w:p>
      <w:pPr>
        <w:pStyle w:val="ListParagraph"/>
        <w:numPr>
          <w:ilvl w:val="0"/>
          <w:numId w:val="2"/>
        </w:numPr>
        <w:spacing w:before="60" w:after="80" w:line="260"/>
      </w:pPr>
      <w:r>
        <w:rPr>
          <w:rFonts w:ascii="Calibri" w:cs="Calibri" w:eastAsia="Calibri" w:hAnsi="Calibri"/>
          <w:b/>
          <w:bCs/>
          <w:color w:val="1B3A6B"/>
          <w:sz w:val="22"/>
          <w:szCs w:val="22"/>
        </w:rPr>
        <w:t xml:space="preserve">Cost waste</w:t>
      </w:r>
      <w:r>
        <w:rPr>
          <w:rFonts w:ascii="Calibri" w:cs="Calibri" w:eastAsia="Calibri" w:hAnsi="Calibri"/>
          <w:color w:val="2C2C2C"/>
          <w:sz w:val="22"/>
          <w:szCs w:val="22"/>
        </w:rPr>
        <w:t xml:space="preserve"> — Positive = overspend vs benchmark. Negative = underspend — typically from misallocated lightweight models.</w:t>
      </w:r>
    </w:p>
    <w:p>
      <w:pPr>
        <w:spacing w:before="120" w:after="0"/>
      </w:pPr>
    </w:p>
    <w:p>
      <w:pPr>
        <w:pStyle w:val="Heading1"/>
        <w:spacing w:before="340" w:after="120"/>
      </w:pPr>
      <w:r>
        <w:rPr>
          <w:rFonts w:ascii="Calibri" w:cs="Calibri" w:eastAsia="Calibri" w:hAnsi="Calibri"/>
          <w:b/>
          <w:bCs/>
          <w:color w:val="1B3A6B"/>
          <w:sz w:val="28"/>
          <w:szCs w:val="28"/>
        </w:rPr>
        <w:t xml:space="preserve">6. Foreign Key Relationships</w:t>
      </w:r>
    </w:p>
    <w:p>
      <w:pPr>
        <w:spacing w:before="80" w:after="120" w:line="276"/>
        <w:jc w:val="both"/>
      </w:pPr>
      <w:r>
        <w:rPr>
          <w:rFonts w:ascii="Calibri" w:cs="Calibri" w:eastAsia="Calibri" w:hAnsi="Calibri"/>
          <w:color w:val="2C2C2C"/>
          <w:sz w:val="22"/>
          <w:szCs w:val="22"/>
        </w:rPr>
        <w:t xml:space="preserve">Every relationship in the warehouse is enforced at the schema level. There are no soft references, no application-level joins, no orphan records. If a parent record does not exist, the child insert fails.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Child Table</w:t>
            </w:r>
          </w:p>
        </w:tc>
        <w:tc>
          <w:tcPr>
            <w:tcW w:type="dxa" w:w="280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References</w:t>
            </w:r>
          </w:p>
        </w:tc>
        <w:tc>
          <w:tcPr>
            <w:tcW w:type="dxa" w:w="376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Key Column(s)</w:t>
            </w:r>
          </w:p>
        </w:tc>
      </w:tr>
      <w:tr>
        <w:tc>
          <w:tcPr>
            <w:tcW w:type="dxa" w:w="280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state_kpi_summary</w:t>
            </w:r>
          </w:p>
        </w:tc>
        <w:tc>
          <w:tcPr>
            <w:tcW w:type="dxa" w:w="280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phonepe_transactions_staging</w:t>
            </w:r>
          </w:p>
        </w:tc>
        <w:tc>
          <w:tcPr>
            <w:tcW w:type="dxa" w:w="376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(state, year) — derived via aggregation CTE</w:t>
            </w:r>
          </w:p>
        </w:tc>
      </w:tr>
      <w:tr>
        <w:tc>
          <w:tcPr>
            <w:tcW w:type="dxa" w:w="280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experiment_runs</w:t>
            </w:r>
          </w:p>
        </w:tc>
        <w:tc>
          <w:tcPr>
            <w:tcW w:type="dxa" w:w="280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model_versions</w:t>
            </w:r>
          </w:p>
        </w:tc>
        <w:tc>
          <w:tcPr>
            <w:tcW w:type="dxa" w:w="376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model_id → model_versions.model_id</w:t>
            </w:r>
          </w:p>
        </w:tc>
      </w:tr>
      <w:tr>
        <w:tc>
          <w:tcPr>
            <w:tcW w:type="dxa" w:w="280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experiment_runs</w:t>
            </w:r>
          </w:p>
        </w:tc>
        <w:tc>
          <w:tcPr>
            <w:tcW w:type="dxa" w:w="280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prompt_versions</w:t>
            </w:r>
          </w:p>
        </w:tc>
        <w:tc>
          <w:tcPr>
            <w:tcW w:type="dxa" w:w="376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prompt_id → prompt_versions.prompt_id</w:t>
            </w:r>
          </w:p>
        </w:tc>
      </w:tr>
      <w:tr>
        <w:tc>
          <w:tcPr>
            <w:tcW w:type="dxa" w:w="280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experiment_runs</w:t>
            </w:r>
          </w:p>
        </w:tc>
        <w:tc>
          <w:tcPr>
            <w:tcW w:type="dxa" w:w="280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state_kpi_summary</w:t>
            </w:r>
          </w:p>
        </w:tc>
        <w:tc>
          <w:tcPr>
            <w:tcW w:type="dxa" w:w="376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(state, year) → state_kpi_summary.(state, year)</w:t>
            </w:r>
          </w:p>
        </w:tc>
      </w:tr>
      <w:tr>
        <w:tc>
          <w:tcPr>
            <w:tcW w:type="dxa" w:w="280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evaluation_results</w:t>
            </w:r>
          </w:p>
        </w:tc>
        <w:tc>
          <w:tcPr>
            <w:tcW w:type="dxa" w:w="280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experiment_runs</w:t>
            </w:r>
          </w:p>
        </w:tc>
        <w:tc>
          <w:tcPr>
            <w:tcW w:type="dxa" w:w="376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run_id → experiment_runs.run_id</w:t>
            </w:r>
          </w:p>
        </w:tc>
      </w:tr>
      <w:tr>
        <w:tc>
          <w:tcPr>
            <w:tcW w:type="dxa" w:w="280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cost_analysis</w:t>
            </w:r>
          </w:p>
        </w:tc>
        <w:tc>
          <w:tcPr>
            <w:tcW w:type="dxa" w:w="280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experiment_runs</w:t>
            </w:r>
          </w:p>
        </w:tc>
        <w:tc>
          <w:tcPr>
            <w:tcW w:type="dxa" w:w="376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run_id → experiment_runs.run_id  |  UNIQUE(run_id)</w:t>
            </w:r>
          </w:p>
        </w:tc>
      </w:tr>
    </w:tbl>
    <w:p>
      <w:pPr>
        <w:spacing w:before="120" w:after="0"/>
      </w:pPr>
    </w:p>
    <w:p>
      <w:pPr>
        <w:pStyle w:val="Heading1"/>
        <w:spacing w:before="340" w:after="120"/>
      </w:pPr>
      <w:r>
        <w:rPr>
          <w:rFonts w:ascii="Calibri" w:cs="Calibri" w:eastAsia="Calibri" w:hAnsi="Calibri"/>
          <w:b/>
          <w:bCs/>
          <w:color w:val="1B3A6B"/>
          <w:sz w:val="28"/>
          <w:szCs w:val="28"/>
        </w:rPr>
        <w:t xml:space="preserve">7. View Layer — 11 SQL Views</w:t>
      </w:r>
    </w:p>
    <w:p>
      <w:pPr>
        <w:spacing w:before="80" w:after="120" w:line="276"/>
        <w:jc w:val="both"/>
      </w:pPr>
      <w:r>
        <w:rPr>
          <w:rFonts w:ascii="Calibri" w:cs="Calibri" w:eastAsia="Calibri" w:hAnsi="Calibri"/>
          <w:color w:val="2C2C2C"/>
          <w:sz w:val="22"/>
          <w:szCs w:val="22"/>
        </w:rPr>
        <w:t xml:space="preserve">The view layer is the contract between the warehouse and Power BI. Power BI reads exclusively from views — never from base tables. This means schema changes in base tables only require view updates. Dashboards are never broken by upstream changes.</w:t>
      </w:r>
    </w:p>
    <w:p>
      <w:pPr>
        <w:spacing w:before="80" w:after="0"/>
      </w:pPr>
    </w:p>
    <w:p>
      <w:pPr>
        <w:pBdr>
          <w:left w:val="single" w:color="1B3A6B" w:sz="18" w:space="6"/>
        </w:pBdr>
        <w:spacing w:before="140" w:after="140"/>
        <w:ind w:left="360"/>
      </w:pPr>
      <w:r>
        <w:rPr>
          <w:rFonts w:ascii="Calibri" w:cs="Calibri" w:eastAsia="Calibri" w:hAnsi="Calibri"/>
          <w:b/>
          <w:bCs/>
          <w:i/>
          <w:iCs/>
          <w:color w:val="1B3A6B"/>
          <w:sz w:val="22"/>
          <w:szCs w:val="22"/>
        </w:rPr>
        <w:t xml:space="preserve">Views are the API. Base tables are the implementation detail.</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View Name</w:t>
            </w:r>
          </w:p>
        </w:tc>
        <w:tc>
          <w:tcPr>
            <w:tcW w:type="dxa" w:w="596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What It Answers</w:t>
            </w:r>
          </w:p>
        </w:tc>
      </w:tr>
      <w:tr>
        <w:tc>
          <w:tcPr>
            <w:tcW w:type="dxa" w:w="340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vw_governance_benchmark_base</w:t>
            </w:r>
          </w:p>
        </w:tc>
        <w:tc>
          <w:tcPr>
            <w:tcW w:type="dxa" w:w="596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Base join across all tables. Foundation for all downstream views.</w:t>
            </w:r>
          </w:p>
        </w:tc>
      </w:tr>
      <w:tr>
        <w:tc>
          <w:tcPr>
            <w:tcW w:type="dxa" w:w="340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vw_cost_per_governance_point</w:t>
            </w:r>
          </w:p>
        </w:tc>
        <w:tc>
          <w:tcPr>
            <w:tcW w:type="dxa" w:w="596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How much does each provider spend per unit of governance quality?</w:t>
            </w:r>
          </w:p>
        </w:tc>
      </w:tr>
      <w:tr>
        <w:tc>
          <w:tcPr>
            <w:tcW w:type="dxa" w:w="340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vw_governance_efficiency</w:t>
            </w:r>
          </w:p>
        </w:tc>
        <w:tc>
          <w:tcPr>
            <w:tcW w:type="dxa" w:w="596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Governance value delivered per dollar — efficiency index by tier and workload.</w:t>
            </w:r>
          </w:p>
        </w:tc>
      </w:tr>
      <w:tr>
        <w:tc>
          <w:tcPr>
            <w:tcW w:type="dxa" w:w="340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vw_provider_efficiency</w:t>
            </w:r>
          </w:p>
        </w:tc>
        <w:tc>
          <w:tcPr>
            <w:tcW w:type="dxa" w:w="596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Provider-level cost and governance aggregation across all workloads.</w:t>
            </w:r>
          </w:p>
        </w:tc>
      </w:tr>
      <w:tr>
        <w:tc>
          <w:tcPr>
            <w:tcW w:type="dxa" w:w="340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vw_latency_cost_tradeoff</w:t>
            </w:r>
          </w:p>
        </w:tc>
        <w:tc>
          <w:tcPr>
            <w:tcW w:type="dxa" w:w="596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Speed vs cost vs governance — the three-way operational tradeoff by provider.</w:t>
            </w:r>
          </w:p>
        </w:tc>
      </w:tr>
      <w:tr>
        <w:tc>
          <w:tcPr>
            <w:tcW w:type="dxa" w:w="340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vw_misallocation_impact</w:t>
            </w:r>
          </w:p>
        </w:tc>
        <w:tc>
          <w:tcPr>
            <w:tcW w:type="dxa" w:w="596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Governance score loss and cost delta caused by misallocated tier assignments.</w:t>
            </w:r>
          </w:p>
        </w:tc>
      </w:tr>
      <w:tr>
        <w:tc>
          <w:tcPr>
            <w:tcW w:type="dxa" w:w="340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vw_allocation_optimization</w:t>
            </w:r>
          </w:p>
        </w:tc>
        <w:tc>
          <w:tcPr>
            <w:tcW w:type="dxa" w:w="596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What would performance look like if all runs were correctly allocated?</w:t>
            </w:r>
          </w:p>
        </w:tc>
      </w:tr>
      <w:tr>
        <w:tc>
          <w:tcPr>
            <w:tcW w:type="dxa" w:w="340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vw_provider_ranking</w:t>
            </w:r>
          </w:p>
        </w:tc>
        <w:tc>
          <w:tcPr>
            <w:tcW w:type="dxa" w:w="596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Multi-dimensional DENSE_RANK across cost, governance, and latency per provider.</w:t>
            </w:r>
          </w:p>
        </w:tc>
      </w:tr>
      <w:tr>
        <w:tc>
          <w:tcPr>
            <w:tcW w:type="dxa" w:w="340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vw_cost_waste_analysis</w:t>
            </w:r>
          </w:p>
        </w:tc>
        <w:tc>
          <w:tcPr>
            <w:tcW w:type="dxa" w:w="596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Total cost waste by provider and workload. Identifies high-waste combinations.</w:t>
            </w:r>
          </w:p>
        </w:tc>
      </w:tr>
      <w:tr>
        <w:tc>
          <w:tcPr>
            <w:tcW w:type="dxa" w:w="340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vw_model_stability_summary</w:t>
            </w:r>
          </w:p>
        </w:tc>
        <w:tc>
          <w:tcPr>
            <w:tcW w:type="dxa" w:w="596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STDDEV of governance scores by model — identifies most and least reliable models.</w:t>
            </w:r>
          </w:p>
        </w:tc>
      </w:tr>
      <w:tr>
        <w:tc>
          <w:tcPr>
            <w:tcW w:type="dxa" w:w="340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vw_tier_compliance_summary</w:t>
            </w:r>
          </w:p>
        </w:tc>
        <w:tc>
          <w:tcPr>
            <w:tcW w:type="dxa" w:w="596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Compliance rate by tier — what percentage of runs used the correct model tier?</w:t>
            </w:r>
          </w:p>
        </w:tc>
      </w:tr>
    </w:tbl>
    <w:p>
      <w:pPr>
        <w:spacing w:before="120" w:after="0"/>
      </w:pPr>
    </w:p>
    <w:p>
      <w:pPr>
        <w:pStyle w:val="Heading1"/>
        <w:spacing w:before="340" w:after="120"/>
      </w:pPr>
      <w:r>
        <w:rPr>
          <w:rFonts w:ascii="Calibri" w:cs="Calibri" w:eastAsia="Calibri" w:hAnsi="Calibri"/>
          <w:b/>
          <w:bCs/>
          <w:color w:val="1B3A6B"/>
          <w:sz w:val="28"/>
          <w:szCs w:val="28"/>
        </w:rPr>
        <w:t xml:space="preserve">8. Key Design Decisions</w:t>
      </w:r>
    </w:p>
    <w:p>
      <w:pPr>
        <w:spacing w:before="80" w:after="120" w:line="276"/>
        <w:jc w:val="both"/>
      </w:pPr>
      <w:r>
        <w:rPr>
          <w:rFonts w:ascii="Calibri" w:cs="Calibri" w:eastAsia="Calibri" w:hAnsi="Calibri"/>
          <w:color w:val="2C2C2C"/>
          <w:sz w:val="22"/>
          <w:szCs w:val="22"/>
        </w:rPr>
        <w:t xml:space="preserve">Every architectural choice in this project was made deliberately. This table documents the decision and the reason behind it.</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Decision</w:t>
            </w:r>
          </w:p>
        </w:tc>
        <w:tc>
          <w:tcPr>
            <w:tcW w:type="dxa" w:w="636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Rationale</w:t>
            </w:r>
          </w:p>
        </w:tc>
      </w:tr>
      <w:tr>
        <w:tc>
          <w:tcPr>
            <w:tcW w:type="dxa" w:w="300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SQL-first architecture</w:t>
            </w:r>
          </w:p>
        </w:tc>
        <w:tc>
          <w:tcPr>
            <w:tcW w:type="dxa" w:w="636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All business logic lives in SQL — auditable, version-controllable, independent of any visualization tool.</w:t>
            </w:r>
          </w:p>
        </w:tc>
      </w:tr>
      <w:tr>
        <w:tc>
          <w:tcPr>
            <w:tcW w:type="dxa" w:w="300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No Python business logic</w:t>
            </w:r>
          </w:p>
        </w:tc>
        <w:tc>
          <w:tcPr>
            <w:tcW w:type="dxa" w:w="636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Python is used for ingestion only. This enforces a clean boundary and makes the warehouse self-contained.</w:t>
            </w:r>
          </w:p>
        </w:tc>
      </w:tr>
      <w:tr>
        <w:tc>
          <w:tcPr>
            <w:tcW w:type="dxa" w:w="300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Deterministic misallocation</w:t>
            </w:r>
          </w:p>
        </w:tc>
        <w:tc>
          <w:tcPr>
            <w:tcW w:type="dxa" w:w="636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MOD(run_id, 10) produces a fixed 70/30 split — reproducible without random seeds or external config.</w:t>
            </w:r>
          </w:p>
        </w:tc>
      </w:tr>
      <w:tr>
        <w:tc>
          <w:tcPr>
            <w:tcW w:type="dxa" w:w="300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DECIMAL for all costs</w:t>
            </w:r>
          </w:p>
        </w:tc>
        <w:tc>
          <w:tcPr>
            <w:tcW w:type="dxa" w:w="636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FLOAT is unsuitable for monetary values. DECIMAL with explicit precision eliminates rounding errors.</w:t>
            </w:r>
          </w:p>
        </w:tc>
      </w:tr>
      <w:tr>
        <w:tc>
          <w:tcPr>
            <w:tcW w:type="dxa" w:w="300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DENSE_RANK for provider ranking</w:t>
            </w:r>
          </w:p>
        </w:tc>
        <w:tc>
          <w:tcPr>
            <w:tcW w:type="dxa" w:w="636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DENSE_RANK preserves ranking continuity when providers tie — RANK() creates gaps that misrepresent position.</w:t>
            </w:r>
          </w:p>
        </w:tc>
      </w:tr>
      <w:tr>
        <w:tc>
          <w:tcPr>
            <w:tcW w:type="dxa" w:w="300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11 views over raw tables</w:t>
            </w:r>
          </w:p>
        </w:tc>
        <w:tc>
          <w:tcPr>
            <w:tcW w:type="dxa" w:w="636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Views give Power BI a stable contract. Schema changes in base tables only require view updates — dashboards are unaffected.</w:t>
            </w:r>
          </w:p>
        </w:tc>
      </w:tr>
      <w:tr>
        <w:tc>
          <w:tcPr>
            <w:tcW w:type="dxa" w:w="300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kpi_hash on state_kpi_summary</w:t>
            </w:r>
          </w:p>
        </w:tc>
        <w:tc>
          <w:tcPr>
            <w:tcW w:type="dxa" w:w="636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MD5 hash of key columns enables change detection — supports data versioning without a separate audit table.</w:t>
            </w:r>
          </w:p>
        </w:tc>
      </w:tr>
      <w:tr>
        <w:tc>
          <w:tcPr>
            <w:tcW w:type="dxa" w:w="300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Composite PK on state_kpi_summary</w:t>
            </w:r>
          </w:p>
        </w:tc>
        <w:tc>
          <w:tcPr>
            <w:tcW w:type="dxa" w:w="6360"/>
            <w:tcBorders>
              <w:top w:val="single" w:color="B8C8E0" w:sz="1"/>
              <w:left w:val="single" w:color="B8C8E0" w:sz="1"/>
              <w:bottom w:val="single" w:color="B8C8E0" w:sz="1"/>
              <w:right w:val="single" w:color="B8C8E0"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(state, year) as composite key enforces one row per state-year — no duplicates possible at the schema level.</w:t>
            </w:r>
          </w:p>
        </w:tc>
      </w:tr>
      <w:tr>
        <w:tc>
          <w:tcPr>
            <w:tcW w:type="dxa" w:w="300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UNIQUE(run_id) on cost_analysis</w:t>
            </w:r>
          </w:p>
        </w:tc>
        <w:tc>
          <w:tcPr>
            <w:tcW w:type="dxa" w:w="6360"/>
            <w:tcBorders>
              <w:top w:val="single" w:color="B8C8E0" w:sz="1"/>
              <w:left w:val="single" w:color="B8C8E0" w:sz="1"/>
              <w:bottom w:val="single" w:color="B8C8E0" w:sz="1"/>
              <w:right w:val="single" w:color="B8C8E0" w:sz="1"/>
            </w:tcBorders>
            <w:shd w:fill="EBF0F8" w:val="clear"/>
            <w:tcMar>
              <w:top w:type="dxa" w:w="80"/>
              <w:left w:type="dxa" w:w="140"/>
              <w:bottom w:type="dxa" w:w="80"/>
              <w:right w:type="dxa" w:w="140"/>
            </w:tcMar>
          </w:tcPr>
          <w:p>
            <w:pPr>
              <w:jc w:val="left"/>
            </w:pPr>
            <w:r>
              <w:rPr>
                <w:rFonts w:ascii="Calibri" w:cs="Calibri" w:eastAsia="Calibri" w:hAnsi="Calibri"/>
                <w:b w:val="false"/>
                <w:bCs w:val="false"/>
                <w:color w:val="2C2C2C"/>
                <w:sz w:val="20"/>
                <w:szCs w:val="20"/>
              </w:rPr>
              <w:t xml:space="preserve">Enforces one cost record per experiment run — prevents double-counting in cost aggregations.</w:t>
            </w:r>
          </w:p>
        </w:tc>
      </w:tr>
    </w:tbl>
    <w:p>
      <w:pPr>
        <w:spacing w:before="120" w:after="0"/>
      </w:pPr>
    </w:p>
    <w:p>
      <w:pPr>
        <w:pStyle w:val="Heading1"/>
        <w:spacing w:before="340" w:after="120"/>
      </w:pPr>
      <w:r>
        <w:rPr>
          <w:rFonts w:ascii="Calibri" w:cs="Calibri" w:eastAsia="Calibri" w:hAnsi="Calibri"/>
          <w:b/>
          <w:bCs/>
          <w:color w:val="1B3A6B"/>
          <w:sz w:val="28"/>
          <w:szCs w:val="28"/>
        </w:rPr>
        <w:t xml:space="preserve">9. Rebuild Guarantee</w:t>
      </w:r>
    </w:p>
    <w:p>
      <w:pPr>
        <w:spacing w:before="80" w:after="120" w:line="276"/>
        <w:jc w:val="both"/>
      </w:pPr>
      <w:r>
        <w:rPr>
          <w:rFonts w:ascii="Calibri" w:cs="Calibri" w:eastAsia="Calibri" w:hAnsi="Calibri"/>
          <w:color w:val="2C2C2C"/>
          <w:sz w:val="22"/>
          <w:szCs w:val="22"/>
        </w:rPr>
        <w:t xml:space="preserve">The warehouse can be fully rebuilt from scratch by running the SQL scripts in order. The output is always identical. No manual steps. No environment-specific configuration. No random state.</w:t>
      </w:r>
    </w:p>
    <w:p>
      <w:pPr>
        <w:spacing w:before="80" w:after="0"/>
      </w:pPr>
    </w:p>
    <w:p>
      <w:pPr>
        <w:pBdr>
          <w:left w:val="single" w:color="2E5FA3" w:sz="12" w:space="6"/>
        </w:pBdr>
        <w:shd w:fill="F0F4FA" w:val="clear"/>
        <w:spacing w:before="40" w:after="40"/>
        <w:ind w:left="360"/>
      </w:pPr>
      <w:r>
        <w:rPr>
          <w:rFonts w:ascii="Courier New" w:cs="Courier New" w:eastAsia="Courier New" w:hAnsi="Courier New"/>
          <w:color w:val="1A1A2E"/>
          <w:sz w:val="18"/>
          <w:szCs w:val="18"/>
        </w:rPr>
        <w:t xml:space="preserve">Step 1 — Run schema creation scripts (DDL)</w:t>
      </w:r>
    </w:p>
    <w:p>
      <w:pPr>
        <w:pBdr>
          <w:left w:val="single" w:color="2E5FA3" w:sz="12" w:space="6"/>
        </w:pBdr>
        <w:shd w:fill="F0F4FA" w:val="clear"/>
        <w:spacing w:before="40" w:after="40"/>
        <w:ind w:left="360"/>
      </w:pPr>
      <w:r>
        <w:rPr>
          <w:rFonts w:ascii="Courier New" w:cs="Courier New" w:eastAsia="Courier New" w:hAnsi="Courier New"/>
          <w:color w:val="1A1A2E"/>
          <w:sz w:val="18"/>
          <w:szCs w:val="18"/>
        </w:rPr>
        <w:t xml:space="preserve">Step 2 — Run Python ingestion script (CSV load)</w:t>
      </w:r>
    </w:p>
    <w:p>
      <w:pPr>
        <w:pBdr>
          <w:left w:val="single" w:color="2E5FA3" w:sz="12" w:space="6"/>
        </w:pBdr>
        <w:shd w:fill="F0F4FA" w:val="clear"/>
        <w:spacing w:before="40" w:after="40"/>
        <w:ind w:left="360"/>
      </w:pPr>
      <w:r>
        <w:rPr>
          <w:rFonts w:ascii="Courier New" w:cs="Courier New" w:eastAsia="Courier New" w:hAnsi="Courier New"/>
          <w:color w:val="1A1A2E"/>
          <w:sz w:val="18"/>
          <w:szCs w:val="18"/>
        </w:rPr>
        <w:t xml:space="preserve">Step 3 — Run state_kpi_summary build script</w:t>
      </w:r>
    </w:p>
    <w:p>
      <w:pPr>
        <w:pBdr>
          <w:left w:val="single" w:color="2E5FA3" w:sz="12" w:space="6"/>
        </w:pBdr>
        <w:shd w:fill="F0F4FA" w:val="clear"/>
        <w:spacing w:before="40" w:after="40"/>
        <w:ind w:left="360"/>
      </w:pPr>
      <w:r>
        <w:rPr>
          <w:rFonts w:ascii="Courier New" w:cs="Courier New" w:eastAsia="Courier New" w:hAnsi="Courier New"/>
          <w:color w:val="1A1A2E"/>
          <w:sz w:val="18"/>
          <w:szCs w:val="18"/>
        </w:rPr>
        <w:t xml:space="preserve">Step 4 — Run seed scripts (prompt_versions, model_versions)</w:t>
      </w:r>
    </w:p>
    <w:p>
      <w:pPr>
        <w:pBdr>
          <w:left w:val="single" w:color="2E5FA3" w:sz="12" w:space="6"/>
        </w:pBdr>
        <w:shd w:fill="F0F4FA" w:val="clear"/>
        <w:spacing w:before="40" w:after="40"/>
        <w:ind w:left="360"/>
      </w:pPr>
      <w:r>
        <w:rPr>
          <w:rFonts w:ascii="Courier New" w:cs="Courier New" w:eastAsia="Courier New" w:hAnsi="Courier New"/>
          <w:color w:val="1A1A2E"/>
          <w:sz w:val="18"/>
          <w:szCs w:val="18"/>
        </w:rPr>
        <w:t xml:space="preserve">Step 5 — Run experiment_runs generation script</w:t>
      </w:r>
    </w:p>
    <w:p>
      <w:pPr>
        <w:pBdr>
          <w:left w:val="single" w:color="2E5FA3" w:sz="12" w:space="6"/>
        </w:pBdr>
        <w:shd w:fill="F0F4FA" w:val="clear"/>
        <w:spacing w:before="40" w:after="40"/>
        <w:ind w:left="360"/>
      </w:pPr>
      <w:r>
        <w:rPr>
          <w:rFonts w:ascii="Courier New" w:cs="Courier New" w:eastAsia="Courier New" w:hAnsi="Courier New"/>
          <w:color w:val="1A1A2E"/>
          <w:sz w:val="18"/>
          <w:szCs w:val="18"/>
        </w:rPr>
        <w:t xml:space="preserve">Step 6 — Run evaluation_results scoring script</w:t>
      </w:r>
    </w:p>
    <w:p>
      <w:pPr>
        <w:pBdr>
          <w:left w:val="single" w:color="2E5FA3" w:sz="12" w:space="6"/>
        </w:pBdr>
        <w:shd w:fill="F0F4FA" w:val="clear"/>
        <w:spacing w:before="40" w:after="40"/>
        <w:ind w:left="360"/>
      </w:pPr>
      <w:r>
        <w:rPr>
          <w:rFonts w:ascii="Courier New" w:cs="Courier New" w:eastAsia="Courier New" w:hAnsi="Courier New"/>
          <w:color w:val="1A1A2E"/>
          <w:sz w:val="18"/>
          <w:szCs w:val="18"/>
        </w:rPr>
        <w:t xml:space="preserve">Step 7 — Run cost_analysis calculation script</w:t>
      </w:r>
    </w:p>
    <w:p>
      <w:pPr>
        <w:pBdr>
          <w:left w:val="single" w:color="2E5FA3" w:sz="12" w:space="6"/>
        </w:pBdr>
        <w:shd w:fill="F0F4FA" w:val="clear"/>
        <w:spacing w:before="40" w:after="40"/>
        <w:ind w:left="360"/>
      </w:pPr>
      <w:r>
        <w:rPr>
          <w:rFonts w:ascii="Courier New" w:cs="Courier New" w:eastAsia="Courier New" w:hAnsi="Courier New"/>
          <w:color w:val="1A1A2E"/>
          <w:sz w:val="18"/>
          <w:szCs w:val="18"/>
        </w:rPr>
        <w:t xml:space="preserve">Step 8 — Run view creation scripts (11 views)</w:t>
      </w:r>
    </w:p>
    <w:p>
      <w:pPr>
        <w:pBdr>
          <w:left w:val="single" w:color="2E5FA3" w:sz="12" w:space="6"/>
        </w:pBdr>
        <w:shd w:fill="F0F4FA" w:val="clear"/>
        <w:spacing w:before="40" w:after="40"/>
        <w:ind w:left="360"/>
      </w:pPr>
      <w:r>
        <w:rPr>
          <w:rFonts w:ascii="Courier New" w:cs="Courier New" w:eastAsia="Courier New" w:hAnsi="Courier New"/>
          <w:color w:val="1A1A2E"/>
          <w:sz w:val="18"/>
          <w:szCs w:val="18"/>
        </w:rPr>
        <w:t xml:space="preserve">Step 9 — Connect Power BI to view layer</w:t>
      </w:r>
    </w:p>
    <w:p>
      <w:pPr>
        <w:spacing w:before="100" w:after="0"/>
      </w:pPr>
    </w:p>
    <w:p>
      <w:pPr>
        <w:spacing w:before="80" w:after="120" w:line="276"/>
        <w:jc w:val="both"/>
      </w:pPr>
      <w:r>
        <w:rPr>
          <w:rFonts w:ascii="Calibri" w:cs="Calibri" w:eastAsia="Calibri" w:hAnsi="Calibri"/>
          <w:color w:val="2C2C2C"/>
          <w:sz w:val="22"/>
          <w:szCs w:val="22"/>
        </w:rPr>
        <w:t xml:space="preserve">This reproducibility is not an accident — it is a direct result of the deterministic misallocation logic, the SQL-first architecture, and the absence of any runtime randomness in the pipeline. A rebuilt warehouse connected to the same Power BI file produces identical dashboards.</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spacing w:before="120" w:after="0"/>
      <w:jc w:val="center"/>
    </w:pPr>
    <w:r>
      <w:rPr>
        <w:rFonts w:ascii="Calibri" w:cs="Calibri" w:eastAsia="Calibri" w:hAnsi="Calibri"/>
        <w:color w:val="888888"/>
        <w:sz w:val="16"/>
        <w:szCs w:val="16"/>
      </w:rPr>
      <w:t xml:space="preserve">Portfolio Project  —  Analytics Engineering &amp; Data Analysis    |    Page </w:t>
    </w:r>
    <w:r>
      <w:rPr>
        <w:rFonts w:ascii="Calibri" w:cs="Calibri" w:eastAsia="Calibri" w:hAnsi="Calibri"/>
        <w:color w:val="2E5FA3"/>
        <w:sz w:val="16"/>
        <w:szCs w:val="16"/>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spacing w:before="0" w:after="120"/>
      <w:jc w:val="right"/>
    </w:pPr>
    <w:r>
      <w:rPr>
        <w:rFonts w:ascii="Calibri" w:cs="Calibri" w:eastAsia="Calibri" w:hAnsi="Calibri"/>
        <w:i/>
        <w:iCs/>
        <w:color w:val="2E5FA3"/>
        <w:sz w:val="18"/>
        <w:szCs w:val="18"/>
      </w:rPr>
      <w:t xml:space="preserve">LLM Governance &amp; Cost Benchmarking Framework</w:t>
    </w:r>
    <w:r>
      <w:rPr>
        <w:rFonts w:ascii="Calibri" w:cs="Calibri" w:eastAsia="Calibri" w:hAnsi="Calibri"/>
        <w:color w:val="888888"/>
        <w:sz w:val="18"/>
        <w:szCs w:val="18"/>
      </w:rPr>
      <w:t xml:space="preserve">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2026-03-18T09:14:47.151Z</dcterms:created>
  <dcterms:modified xsi:type="dcterms:W3CDTF">2026-03-18T09:14:47.152Z</dcterms:modified>
</cp:coreProperties>
</file>

<file path=docProps/custom.xml><?xml version="1.0" encoding="utf-8"?>
<Properties xmlns="http://schemas.openxmlformats.org/officeDocument/2006/custom-properties" xmlns:vt="http://schemas.openxmlformats.org/officeDocument/2006/docPropsVTypes"/>
</file>