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685B" w14:textId="77777777" w:rsidR="007948E7" w:rsidRDefault="00000000">
      <w:pPr>
        <w:spacing w:before="240" w:after="40"/>
      </w:pPr>
      <w:r>
        <w:rPr>
          <w:color w:val="0F2444"/>
          <w:sz w:val="48"/>
          <w:szCs w:val="48"/>
        </w:rPr>
        <w:t>LLM Governance &amp; Cost Benchmarking Framework</w:t>
      </w:r>
    </w:p>
    <w:p w14:paraId="0B0A4893" w14:textId="77777777" w:rsidR="007948E7" w:rsidRDefault="00000000">
      <w:pPr>
        <w:spacing w:after="60"/>
      </w:pPr>
      <w:r>
        <w:rPr>
          <w:i/>
          <w:iCs/>
          <w:color w:val="2E5FA3"/>
          <w:sz w:val="24"/>
          <w:szCs w:val="24"/>
        </w:rPr>
        <w:t>Dashboard Design Framework</w:t>
      </w:r>
    </w:p>
    <w:p w14:paraId="248ED6E4" w14:textId="77777777" w:rsidR="007948E7" w:rsidRDefault="007948E7">
      <w:pPr>
        <w:pBdr>
          <w:bottom w:val="single" w:sz="6" w:space="1" w:color="1B3A6B"/>
        </w:pBdr>
        <w:spacing w:after="180"/>
      </w:pPr>
    </w:p>
    <w:p w14:paraId="16D6B81B" w14:textId="77777777" w:rsidR="007948E7" w:rsidRDefault="00000000">
      <w:pPr>
        <w:pStyle w:val="Heading1"/>
        <w:spacing w:before="340" w:after="120"/>
      </w:pPr>
      <w:r>
        <w:rPr>
          <w:b/>
          <w:bCs/>
          <w:color w:val="1B3A6B"/>
          <w:sz w:val="28"/>
          <w:szCs w:val="28"/>
        </w:rPr>
        <w:t>1. Design Philosophy</w:t>
      </w:r>
    </w:p>
    <w:p w14:paraId="46619E07" w14:textId="77777777" w:rsidR="007948E7" w:rsidRDefault="00000000">
      <w:pPr>
        <w:spacing w:before="80" w:after="120" w:line="276" w:lineRule="auto"/>
        <w:jc w:val="both"/>
      </w:pPr>
      <w:r>
        <w:t xml:space="preserve">Every dashboard in this project was built around one rule — the visual should answer a business question, not display data. Charts were chosen based on what decision they enable, not what looks impressive. </w:t>
      </w:r>
      <w:proofErr w:type="spellStart"/>
      <w:r>
        <w:t>Colors</w:t>
      </w:r>
      <w:proofErr w:type="spellEnd"/>
      <w:r>
        <w:t xml:space="preserve"> carry meaning. Layout communicates hierarchy. Nothing is decorative.</w:t>
      </w:r>
    </w:p>
    <w:p w14:paraId="29F8518E" w14:textId="77777777" w:rsidR="007948E7" w:rsidRDefault="007948E7">
      <w:pPr>
        <w:spacing w:before="80"/>
      </w:pPr>
    </w:p>
    <w:p w14:paraId="365D745A" w14:textId="77777777" w:rsidR="007948E7" w:rsidRDefault="00000000">
      <w:pPr>
        <w:pBdr>
          <w:left w:val="single" w:sz="18" w:space="6" w:color="1B3A6B"/>
        </w:pBdr>
        <w:spacing w:before="140" w:after="140"/>
        <w:ind w:left="360"/>
      </w:pPr>
      <w:r>
        <w:rPr>
          <w:b/>
          <w:bCs/>
          <w:i/>
          <w:iCs/>
          <w:color w:val="1B3A6B"/>
        </w:rPr>
        <w:t xml:space="preserve">Every chart answers a question. Every </w:t>
      </w:r>
      <w:proofErr w:type="spellStart"/>
      <w:r>
        <w:rPr>
          <w:b/>
          <w:bCs/>
          <w:i/>
          <w:iCs/>
          <w:color w:val="1B3A6B"/>
        </w:rPr>
        <w:t>color</w:t>
      </w:r>
      <w:proofErr w:type="spellEnd"/>
      <w:r>
        <w:rPr>
          <w:b/>
          <w:bCs/>
          <w:i/>
          <w:iCs/>
          <w:color w:val="1B3A6B"/>
        </w:rPr>
        <w:t xml:space="preserve"> means something. Nothing is decorative.</w:t>
      </w:r>
    </w:p>
    <w:p w14:paraId="3A456A47" w14:textId="77777777" w:rsidR="007948E7" w:rsidRDefault="007948E7">
      <w:pPr>
        <w:spacing w:before="100"/>
      </w:pPr>
    </w:p>
    <w:p w14:paraId="140AE782" w14:textId="77777777" w:rsidR="007948E7" w:rsidRDefault="00000000">
      <w:pPr>
        <w:spacing w:before="80" w:after="120" w:line="276" w:lineRule="auto"/>
        <w:jc w:val="both"/>
      </w:pPr>
      <w:r>
        <w:t>The six dashboards tell a connected story. D1 sets the overall picture. D2 and D3 break it down by tier and vendor. D4 and D5 go deeper into performance and risk. D6 closes with actionable recommendations. A stakeholder can read them in order and arrive at a decision — or jump directly to D6 for the conclusion.</w:t>
      </w:r>
    </w:p>
    <w:p w14:paraId="0160252C" w14:textId="77777777" w:rsidR="007948E7" w:rsidRDefault="007948E7">
      <w:pPr>
        <w:spacing w:before="120"/>
      </w:pPr>
    </w:p>
    <w:p w14:paraId="607EAC46" w14:textId="77777777" w:rsidR="007948E7" w:rsidRDefault="00000000">
      <w:pPr>
        <w:pStyle w:val="Heading1"/>
        <w:spacing w:before="340" w:after="120"/>
      </w:pPr>
      <w:r>
        <w:rPr>
          <w:b/>
          <w:bCs/>
          <w:color w:val="1B3A6B"/>
          <w:sz w:val="28"/>
          <w:szCs w:val="28"/>
        </w:rPr>
        <w:t>2. Dashboard Map</w:t>
      </w:r>
    </w:p>
    <w:p w14:paraId="76A3E879" w14:textId="77777777" w:rsidR="007948E7" w:rsidRDefault="00000000">
      <w:pPr>
        <w:spacing w:before="80" w:after="120" w:line="276" w:lineRule="auto"/>
        <w:jc w:val="both"/>
      </w:pPr>
      <w:r>
        <w:t>Six dashboards. Each anchored to a specific business question.</w:t>
      </w:r>
    </w:p>
    <w:p w14:paraId="091A569B" w14:textId="77777777" w:rsidR="007948E7" w:rsidRDefault="007948E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948E7" w14:paraId="25D88645"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2793A78" w14:textId="77777777" w:rsidR="007948E7" w:rsidRDefault="00000000">
            <w:r>
              <w:rPr>
                <w:b/>
                <w:bCs/>
                <w:color w:val="FFFFFF"/>
                <w:sz w:val="20"/>
                <w:szCs w:val="20"/>
              </w:rPr>
              <w:t>Page</w:t>
            </w:r>
          </w:p>
        </w:tc>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FC4F659" w14:textId="77777777" w:rsidR="007948E7" w:rsidRDefault="00000000">
            <w:r>
              <w:rPr>
                <w:b/>
                <w:bCs/>
                <w:color w:val="FFFFFF"/>
                <w:sz w:val="20"/>
                <w:szCs w:val="20"/>
              </w:rPr>
              <w:t>Dashboard Title</w:t>
            </w:r>
          </w:p>
        </w:tc>
        <w:tc>
          <w:tcPr>
            <w:tcW w:w="5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22B6543" w14:textId="77777777" w:rsidR="007948E7" w:rsidRDefault="00000000">
            <w:r>
              <w:rPr>
                <w:b/>
                <w:bCs/>
                <w:color w:val="FFFFFF"/>
                <w:sz w:val="20"/>
                <w:szCs w:val="20"/>
              </w:rPr>
              <w:t>Business Question It Answers</w:t>
            </w:r>
          </w:p>
        </w:tc>
      </w:tr>
      <w:tr w:rsidR="007948E7" w14:paraId="0FE9F0A4"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EA3D11D" w14:textId="77777777" w:rsidR="007948E7" w:rsidRDefault="00000000">
            <w:r>
              <w:rPr>
                <w:b/>
                <w:bCs/>
                <w:sz w:val="20"/>
                <w:szCs w:val="20"/>
              </w:rPr>
              <w:t>D1</w:t>
            </w:r>
          </w:p>
        </w:tc>
        <w:tc>
          <w:tcPr>
            <w:tcW w:w="2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D9A53BF" w14:textId="77777777" w:rsidR="007948E7" w:rsidRDefault="00000000">
            <w:r>
              <w:rPr>
                <w:sz w:val="20"/>
                <w:szCs w:val="20"/>
              </w:rPr>
              <w:t>Overview</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48BBD4C" w14:textId="77777777" w:rsidR="007948E7" w:rsidRDefault="00000000">
            <w:r>
              <w:rPr>
                <w:sz w:val="20"/>
                <w:szCs w:val="20"/>
              </w:rPr>
              <w:t>How are we performing overall — cost, governance, and latency across all providers and workloads?</w:t>
            </w:r>
          </w:p>
        </w:tc>
      </w:tr>
      <w:tr w:rsidR="007948E7" w14:paraId="0F5421C5"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CC189DD" w14:textId="77777777" w:rsidR="007948E7" w:rsidRDefault="00000000">
            <w:r>
              <w:rPr>
                <w:b/>
                <w:bCs/>
                <w:sz w:val="20"/>
                <w:szCs w:val="20"/>
              </w:rPr>
              <w:t>D2</w:t>
            </w:r>
          </w:p>
        </w:tc>
        <w:tc>
          <w:tcPr>
            <w:tcW w:w="2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7D2A54C" w14:textId="77777777" w:rsidR="007948E7" w:rsidRDefault="00000000">
            <w:r>
              <w:rPr>
                <w:sz w:val="20"/>
                <w:szCs w:val="20"/>
              </w:rPr>
              <w:t>Tier Analysis</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71C2F6B" w14:textId="77777777" w:rsidR="007948E7" w:rsidRDefault="00000000">
            <w:r>
              <w:rPr>
                <w:sz w:val="20"/>
                <w:szCs w:val="20"/>
              </w:rPr>
              <w:t>Are we getting governance value for what each tier costs — and is the right tier being used for the right job?</w:t>
            </w:r>
          </w:p>
        </w:tc>
      </w:tr>
      <w:tr w:rsidR="007948E7" w14:paraId="4A371F75"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A04CD2" w14:textId="77777777" w:rsidR="007948E7" w:rsidRDefault="00000000">
            <w:r>
              <w:rPr>
                <w:b/>
                <w:bCs/>
                <w:sz w:val="20"/>
                <w:szCs w:val="20"/>
              </w:rPr>
              <w:t>D3</w:t>
            </w:r>
          </w:p>
        </w:tc>
        <w:tc>
          <w:tcPr>
            <w:tcW w:w="2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5AFEE5B" w14:textId="77777777" w:rsidR="007948E7" w:rsidRDefault="00000000">
            <w:r>
              <w:rPr>
                <w:sz w:val="20"/>
                <w:szCs w:val="20"/>
              </w:rPr>
              <w:t>Vendor Analysis</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957D946" w14:textId="77777777" w:rsidR="007948E7" w:rsidRDefault="00000000">
            <w:r>
              <w:rPr>
                <w:sz w:val="20"/>
                <w:szCs w:val="20"/>
              </w:rPr>
              <w:t>Which models are most reliable, and where do providers sit on the cost-versus-governance spectrum?</w:t>
            </w:r>
          </w:p>
        </w:tc>
      </w:tr>
      <w:tr w:rsidR="007948E7" w14:paraId="1FDF59EF"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FBE9ADA" w14:textId="77777777" w:rsidR="007948E7" w:rsidRDefault="00000000">
            <w:r>
              <w:rPr>
                <w:b/>
                <w:bCs/>
                <w:sz w:val="20"/>
                <w:szCs w:val="20"/>
              </w:rPr>
              <w:t>D4</w:t>
            </w:r>
          </w:p>
        </w:tc>
        <w:tc>
          <w:tcPr>
            <w:tcW w:w="2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E4784C0" w14:textId="77777777" w:rsidR="007948E7" w:rsidRDefault="00000000">
            <w:r>
              <w:rPr>
                <w:sz w:val="20"/>
                <w:szCs w:val="20"/>
              </w:rPr>
              <w:t>Performance</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BC6E46" w14:textId="77777777" w:rsidR="007948E7" w:rsidRDefault="00000000">
            <w:r>
              <w:rPr>
                <w:sz w:val="20"/>
                <w:szCs w:val="20"/>
              </w:rPr>
              <w:t>Which providers are fastest, and does speed come at the cost of governance quality?</w:t>
            </w:r>
          </w:p>
        </w:tc>
      </w:tr>
      <w:tr w:rsidR="007948E7" w14:paraId="21075464"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689EBE2" w14:textId="77777777" w:rsidR="007948E7" w:rsidRDefault="00000000">
            <w:r>
              <w:rPr>
                <w:b/>
                <w:bCs/>
                <w:sz w:val="20"/>
                <w:szCs w:val="20"/>
              </w:rPr>
              <w:t>D5</w:t>
            </w:r>
          </w:p>
        </w:tc>
        <w:tc>
          <w:tcPr>
            <w:tcW w:w="28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2B1093" w14:textId="77777777" w:rsidR="007948E7" w:rsidRDefault="00000000">
            <w:r>
              <w:rPr>
                <w:sz w:val="20"/>
                <w:szCs w:val="20"/>
              </w:rPr>
              <w:t>Risk &amp; Cost</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3279838" w14:textId="77777777" w:rsidR="007948E7" w:rsidRDefault="00000000">
            <w:r>
              <w:rPr>
                <w:sz w:val="20"/>
                <w:szCs w:val="20"/>
              </w:rPr>
              <w:t>Where is our hallucination risk, what is our misallocation rate, and which providers carry the most governance risk?</w:t>
            </w:r>
          </w:p>
        </w:tc>
      </w:tr>
      <w:tr w:rsidR="007948E7" w14:paraId="6E6E4515" w14:textId="77777777">
        <w:tblPrEx>
          <w:tblCellMar>
            <w:top w:w="0" w:type="dxa"/>
            <w:bottom w:w="0" w:type="dxa"/>
          </w:tblCellMar>
        </w:tblPrEx>
        <w:tc>
          <w:tcPr>
            <w:tcW w:w="1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13D5513" w14:textId="77777777" w:rsidR="007948E7" w:rsidRDefault="00000000">
            <w:r>
              <w:rPr>
                <w:b/>
                <w:bCs/>
                <w:sz w:val="20"/>
                <w:szCs w:val="20"/>
              </w:rPr>
              <w:t>D6</w:t>
            </w:r>
          </w:p>
        </w:tc>
        <w:tc>
          <w:tcPr>
            <w:tcW w:w="28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8F59518" w14:textId="77777777" w:rsidR="007948E7" w:rsidRDefault="00000000">
            <w:r>
              <w:rPr>
                <w:sz w:val="20"/>
                <w:szCs w:val="20"/>
              </w:rPr>
              <w:t>Recommendations</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0656F5F" w14:textId="77777777" w:rsidR="007948E7" w:rsidRDefault="00000000">
            <w:r>
              <w:rPr>
                <w:sz w:val="20"/>
                <w:szCs w:val="20"/>
              </w:rPr>
              <w:t>Which provider should we standardize on per workload, and where is cost waste concentrated?</w:t>
            </w:r>
          </w:p>
        </w:tc>
      </w:tr>
    </w:tbl>
    <w:p w14:paraId="175D31F7" w14:textId="77777777" w:rsidR="007948E7" w:rsidRDefault="007948E7">
      <w:pPr>
        <w:spacing w:before="120"/>
      </w:pPr>
    </w:p>
    <w:p w14:paraId="6D52839B" w14:textId="77777777" w:rsidR="007948E7" w:rsidRDefault="00000000">
      <w:pPr>
        <w:pStyle w:val="Heading1"/>
        <w:spacing w:before="340" w:after="120"/>
      </w:pPr>
      <w:r>
        <w:rPr>
          <w:b/>
          <w:bCs/>
          <w:color w:val="1B3A6B"/>
          <w:sz w:val="28"/>
          <w:szCs w:val="28"/>
        </w:rPr>
        <w:t>3. Header and Navigation System</w:t>
      </w:r>
    </w:p>
    <w:p w14:paraId="118FB7F7" w14:textId="77777777" w:rsidR="007948E7" w:rsidRDefault="00000000">
      <w:pPr>
        <w:spacing w:before="80" w:after="120" w:line="276" w:lineRule="auto"/>
        <w:jc w:val="both"/>
      </w:pPr>
      <w:r>
        <w:t>Every page shares an identical header structure. This was a deliberate decision — consistent navigation reduces cognitive load and signals a professional, production-grade report.</w:t>
      </w:r>
    </w:p>
    <w:p w14:paraId="51912C83" w14:textId="77777777" w:rsidR="007948E7" w:rsidRDefault="007948E7">
      <w:pPr>
        <w:spacing w:before="80"/>
      </w:pPr>
    </w:p>
    <w:p w14:paraId="496576C1" w14:textId="77777777" w:rsidR="007948E7" w:rsidRDefault="00000000">
      <w:pPr>
        <w:pStyle w:val="ListParagraph"/>
        <w:numPr>
          <w:ilvl w:val="0"/>
          <w:numId w:val="2"/>
        </w:numPr>
        <w:spacing w:before="60" w:after="80" w:line="260" w:lineRule="auto"/>
      </w:pPr>
      <w:r>
        <w:rPr>
          <w:b/>
          <w:bCs/>
          <w:color w:val="1B3A6B"/>
        </w:rPr>
        <w:t>Logo</w:t>
      </w:r>
      <w:r>
        <w:t xml:space="preserve"> — LLM Governance shield icon — PNG with transparent background. Placed top-left on all six pages.</w:t>
      </w:r>
    </w:p>
    <w:p w14:paraId="5489A9CC" w14:textId="77777777" w:rsidR="007948E7" w:rsidRDefault="00000000">
      <w:pPr>
        <w:pStyle w:val="ListParagraph"/>
        <w:numPr>
          <w:ilvl w:val="0"/>
          <w:numId w:val="2"/>
        </w:numPr>
        <w:spacing w:before="60" w:after="80" w:line="260" w:lineRule="auto"/>
      </w:pPr>
      <w:r>
        <w:rPr>
          <w:b/>
          <w:bCs/>
          <w:color w:val="1B3A6B"/>
        </w:rPr>
        <w:t>Separator</w:t>
      </w:r>
      <w:r>
        <w:t xml:space="preserve"> — Vertical pipe character | between logo and dashboard title. Clean visual boundary.</w:t>
      </w:r>
    </w:p>
    <w:p w14:paraId="4043CF3A" w14:textId="77777777" w:rsidR="007948E7" w:rsidRDefault="00000000">
      <w:pPr>
        <w:pStyle w:val="ListParagraph"/>
        <w:numPr>
          <w:ilvl w:val="0"/>
          <w:numId w:val="2"/>
        </w:numPr>
        <w:spacing w:before="60" w:after="80" w:line="260" w:lineRule="auto"/>
      </w:pPr>
      <w:r>
        <w:rPr>
          <w:b/>
          <w:bCs/>
          <w:color w:val="1B3A6B"/>
        </w:rPr>
        <w:t>Dashboard Title</w:t>
      </w:r>
      <w:r>
        <w:t xml:space="preserve"> — Full title displayed below the project name. Changes per page.</w:t>
      </w:r>
    </w:p>
    <w:p w14:paraId="0471AEED" w14:textId="77777777" w:rsidR="007948E7" w:rsidRDefault="00000000">
      <w:pPr>
        <w:pStyle w:val="ListParagraph"/>
        <w:numPr>
          <w:ilvl w:val="0"/>
          <w:numId w:val="2"/>
        </w:numPr>
        <w:spacing w:before="60" w:after="80" w:line="260" w:lineRule="auto"/>
      </w:pPr>
      <w:r>
        <w:rPr>
          <w:b/>
          <w:bCs/>
          <w:color w:val="1B3A6B"/>
        </w:rPr>
        <w:t>Navigation Buttons</w:t>
      </w:r>
      <w:r>
        <w:t xml:space="preserve"> — Six rectangle buttons — text only, no fill. Active page shown in bold. Passive pages in regular weight.</w:t>
      </w:r>
    </w:p>
    <w:p w14:paraId="18507F2F" w14:textId="77777777" w:rsidR="007948E7" w:rsidRDefault="00000000">
      <w:pPr>
        <w:pStyle w:val="ListParagraph"/>
        <w:numPr>
          <w:ilvl w:val="0"/>
          <w:numId w:val="2"/>
        </w:numPr>
        <w:spacing w:before="60" w:after="80" w:line="260" w:lineRule="auto"/>
      </w:pPr>
      <w:r>
        <w:rPr>
          <w:b/>
          <w:bCs/>
          <w:color w:val="1B3A6B"/>
        </w:rPr>
        <w:t>Consistency</w:t>
      </w:r>
      <w:r>
        <w:t xml:space="preserve"> — Header layout is pixel-identical across all six pages. No exceptions.</w:t>
      </w:r>
    </w:p>
    <w:p w14:paraId="632BF3AE" w14:textId="77777777" w:rsidR="007948E7" w:rsidRDefault="007948E7">
      <w:pPr>
        <w:spacing w:before="120"/>
      </w:pPr>
    </w:p>
    <w:p w14:paraId="28305099" w14:textId="77777777" w:rsidR="007948E7" w:rsidRDefault="00000000">
      <w:pPr>
        <w:pStyle w:val="Heading1"/>
        <w:spacing w:before="340" w:after="120"/>
      </w:pPr>
      <w:r>
        <w:rPr>
          <w:b/>
          <w:bCs/>
          <w:color w:val="1B3A6B"/>
          <w:sz w:val="28"/>
          <w:szCs w:val="28"/>
        </w:rPr>
        <w:t xml:space="preserve">4. </w:t>
      </w:r>
      <w:proofErr w:type="spellStart"/>
      <w:r>
        <w:rPr>
          <w:b/>
          <w:bCs/>
          <w:color w:val="1B3A6B"/>
          <w:sz w:val="28"/>
          <w:szCs w:val="28"/>
        </w:rPr>
        <w:t>Color</w:t>
      </w:r>
      <w:proofErr w:type="spellEnd"/>
      <w:r>
        <w:rPr>
          <w:b/>
          <w:bCs/>
          <w:color w:val="1B3A6B"/>
          <w:sz w:val="28"/>
          <w:szCs w:val="28"/>
        </w:rPr>
        <w:t xml:space="preserve"> System</w:t>
      </w:r>
    </w:p>
    <w:p w14:paraId="6090D71F" w14:textId="77777777" w:rsidR="007948E7" w:rsidRDefault="00000000">
      <w:pPr>
        <w:spacing w:before="80" w:after="120" w:line="276" w:lineRule="auto"/>
        <w:jc w:val="both"/>
      </w:pPr>
      <w:r>
        <w:t xml:space="preserve">Two independent </w:t>
      </w:r>
      <w:proofErr w:type="spellStart"/>
      <w:r>
        <w:t>color</w:t>
      </w:r>
      <w:proofErr w:type="spellEnd"/>
      <w:r>
        <w:t xml:space="preserve"> systems are used in this project — provider brand </w:t>
      </w:r>
      <w:proofErr w:type="spellStart"/>
      <w:r>
        <w:t>colors</w:t>
      </w:r>
      <w:proofErr w:type="spellEnd"/>
      <w:r>
        <w:t xml:space="preserve"> and governance tier </w:t>
      </w:r>
      <w:proofErr w:type="spellStart"/>
      <w:r>
        <w:t>colors</w:t>
      </w:r>
      <w:proofErr w:type="spellEnd"/>
      <w:r>
        <w:t xml:space="preserve">. They are never mixed in the same visual. This prevents any ambiguity about what a </w:t>
      </w:r>
      <w:proofErr w:type="spellStart"/>
      <w:r>
        <w:t>color</w:t>
      </w:r>
      <w:proofErr w:type="spellEnd"/>
      <w:r>
        <w:t xml:space="preserve"> represents.</w:t>
      </w:r>
    </w:p>
    <w:p w14:paraId="2F999C6D" w14:textId="77777777" w:rsidR="007948E7" w:rsidRDefault="007948E7">
      <w:pPr>
        <w:spacing w:before="80"/>
      </w:pPr>
    </w:p>
    <w:p w14:paraId="3312C51C" w14:textId="77777777" w:rsidR="007948E7" w:rsidRDefault="00000000">
      <w:pPr>
        <w:pBdr>
          <w:left w:val="single" w:sz="18" w:space="6" w:color="1B3A6B"/>
        </w:pBdr>
        <w:spacing w:before="140" w:after="140"/>
        <w:ind w:left="360"/>
      </w:pPr>
      <w:r>
        <w:rPr>
          <w:b/>
          <w:bCs/>
          <w:i/>
          <w:iCs/>
          <w:color w:val="1B3A6B"/>
        </w:rPr>
        <w:t xml:space="preserve">Provider </w:t>
      </w:r>
      <w:proofErr w:type="spellStart"/>
      <w:r>
        <w:rPr>
          <w:b/>
          <w:bCs/>
          <w:i/>
          <w:iCs/>
          <w:color w:val="1B3A6B"/>
        </w:rPr>
        <w:t>colors</w:t>
      </w:r>
      <w:proofErr w:type="spellEnd"/>
      <w:r>
        <w:rPr>
          <w:b/>
          <w:bCs/>
          <w:i/>
          <w:iCs/>
          <w:color w:val="1B3A6B"/>
        </w:rPr>
        <w:t xml:space="preserve"> identify who. Tier </w:t>
      </w:r>
      <w:proofErr w:type="spellStart"/>
      <w:r>
        <w:rPr>
          <w:b/>
          <w:bCs/>
          <w:i/>
          <w:iCs/>
          <w:color w:val="1B3A6B"/>
        </w:rPr>
        <w:t>colors</w:t>
      </w:r>
      <w:proofErr w:type="spellEnd"/>
      <w:r>
        <w:rPr>
          <w:b/>
          <w:bCs/>
          <w:i/>
          <w:iCs/>
          <w:color w:val="1B3A6B"/>
        </w:rPr>
        <w:t xml:space="preserve"> identify what level. They never appear together in the same chart.</w:t>
      </w:r>
    </w:p>
    <w:p w14:paraId="72208FE5" w14:textId="77777777" w:rsidR="007948E7" w:rsidRDefault="007948E7">
      <w:pPr>
        <w:spacing w:before="100"/>
      </w:pPr>
    </w:p>
    <w:p w14:paraId="663D4464" w14:textId="77777777" w:rsidR="007948E7" w:rsidRDefault="00000000">
      <w:pPr>
        <w:pStyle w:val="Heading2"/>
        <w:spacing w:before="220" w:after="80"/>
      </w:pPr>
      <w:r>
        <w:rPr>
          <w:b/>
          <w:bCs/>
          <w:color w:val="2E5FA3"/>
          <w:sz w:val="24"/>
          <w:szCs w:val="24"/>
        </w:rPr>
        <w:t xml:space="preserve">4.1 Provider Brand </w:t>
      </w:r>
      <w:proofErr w:type="spellStart"/>
      <w:r>
        <w:rPr>
          <w:b/>
          <w:bCs/>
          <w:color w:val="2E5FA3"/>
          <w:sz w:val="24"/>
          <w:szCs w:val="24"/>
        </w:rPr>
        <w:t>Colors</w:t>
      </w:r>
      <w:proofErr w:type="spellEnd"/>
    </w:p>
    <w:p w14:paraId="5775A870" w14:textId="77777777" w:rsidR="007948E7" w:rsidRDefault="00000000">
      <w:pPr>
        <w:spacing w:before="80" w:after="120" w:line="276" w:lineRule="auto"/>
        <w:jc w:val="both"/>
      </w:pPr>
      <w:r>
        <w:t xml:space="preserve">Every provider has one </w:t>
      </w:r>
      <w:proofErr w:type="spellStart"/>
      <w:r>
        <w:t>color</w:t>
      </w:r>
      <w:proofErr w:type="spellEnd"/>
      <w:r>
        <w:t xml:space="preserve">. That </w:t>
      </w:r>
      <w:proofErr w:type="spellStart"/>
      <w:r>
        <w:t>color</w:t>
      </w:r>
      <w:proofErr w:type="spellEnd"/>
      <w:r>
        <w:t xml:space="preserve"> is used consistently across every chart, every scatter, every bar. A reader who learns the </w:t>
      </w:r>
      <w:proofErr w:type="spellStart"/>
      <w:r>
        <w:t>color</w:t>
      </w:r>
      <w:proofErr w:type="spellEnd"/>
      <w:r>
        <w:t xml:space="preserve"> on D1 can read D5 without a legend.</w:t>
      </w:r>
    </w:p>
    <w:p w14:paraId="57CBB10B" w14:textId="77777777" w:rsidR="007948E7" w:rsidRDefault="007948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380"/>
        <w:gridCol w:w="3380"/>
      </w:tblGrid>
      <w:tr w:rsidR="007948E7" w14:paraId="7FA994B6"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C53E377" w14:textId="77777777" w:rsidR="007948E7" w:rsidRDefault="00000000">
            <w:r>
              <w:rPr>
                <w:b/>
                <w:bCs/>
                <w:color w:val="FFFFFF"/>
                <w:sz w:val="20"/>
                <w:szCs w:val="20"/>
              </w:rPr>
              <w:t>Provider</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94A185B" w14:textId="77777777" w:rsidR="007948E7" w:rsidRDefault="00000000">
            <w:proofErr w:type="spellStart"/>
            <w:r>
              <w:rPr>
                <w:b/>
                <w:bCs/>
                <w:color w:val="FFFFFF"/>
                <w:sz w:val="20"/>
                <w:szCs w:val="20"/>
              </w:rPr>
              <w:t>Color</w:t>
            </w:r>
            <w:proofErr w:type="spellEnd"/>
          </w:p>
        </w:tc>
        <w:tc>
          <w:tcPr>
            <w:tcW w:w="23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A9549E1" w14:textId="77777777" w:rsidR="007948E7" w:rsidRDefault="00000000">
            <w:r>
              <w:rPr>
                <w:b/>
                <w:bCs/>
                <w:color w:val="FFFFFF"/>
                <w:sz w:val="20"/>
                <w:szCs w:val="20"/>
              </w:rPr>
              <w:t>Hex Code</w:t>
            </w:r>
          </w:p>
        </w:tc>
        <w:tc>
          <w:tcPr>
            <w:tcW w:w="33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C400917" w14:textId="77777777" w:rsidR="007948E7" w:rsidRDefault="00000000">
            <w:r>
              <w:rPr>
                <w:b/>
                <w:bCs/>
                <w:color w:val="FFFFFF"/>
                <w:sz w:val="20"/>
                <w:szCs w:val="20"/>
              </w:rPr>
              <w:t xml:space="preserve">Why This </w:t>
            </w:r>
            <w:proofErr w:type="spellStart"/>
            <w:r>
              <w:rPr>
                <w:b/>
                <w:bCs/>
                <w:color w:val="FFFFFF"/>
                <w:sz w:val="20"/>
                <w:szCs w:val="20"/>
              </w:rPr>
              <w:t>Color</w:t>
            </w:r>
            <w:proofErr w:type="spellEnd"/>
          </w:p>
        </w:tc>
      </w:tr>
      <w:tr w:rsidR="007948E7" w14:paraId="4406B12D"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7BB16C2" w14:textId="77777777" w:rsidR="007948E7" w:rsidRDefault="00000000">
            <w:r>
              <w:rPr>
                <w:b/>
                <w:bCs/>
                <w:sz w:val="20"/>
                <w:szCs w:val="20"/>
              </w:rPr>
              <w:t>OpenAI</w:t>
            </w:r>
          </w:p>
        </w:tc>
        <w:tc>
          <w:tcPr>
            <w:tcW w:w="1600" w:type="dxa"/>
            <w:tcBorders>
              <w:top w:val="single" w:sz="1" w:space="0" w:color="B8C8E0"/>
              <w:left w:val="single" w:sz="1" w:space="0" w:color="B8C8E0"/>
              <w:bottom w:val="single" w:sz="1" w:space="0" w:color="B8C8E0"/>
              <w:right w:val="single" w:sz="1" w:space="0" w:color="B8C8E0"/>
            </w:tcBorders>
            <w:shd w:val="clear" w:color="auto" w:fill="000000"/>
            <w:tcMar>
              <w:top w:w="100" w:type="dxa"/>
              <w:left w:w="140" w:type="dxa"/>
              <w:bottom w:w="100" w:type="dxa"/>
              <w:right w:w="140" w:type="dxa"/>
            </w:tcMar>
          </w:tcPr>
          <w:p w14:paraId="4F64E811"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D27BAFA" w14:textId="77777777" w:rsidR="007948E7" w:rsidRDefault="00000000">
            <w:r>
              <w:rPr>
                <w:sz w:val="20"/>
                <w:szCs w:val="20"/>
              </w:rPr>
              <w:t>#</w:t>
            </w:r>
            <w:proofErr w:type="gramStart"/>
            <w:r>
              <w:rPr>
                <w:sz w:val="20"/>
                <w:szCs w:val="20"/>
              </w:rPr>
              <w:t>000000  Black</w:t>
            </w:r>
            <w:proofErr w:type="gramEnd"/>
          </w:p>
        </w:tc>
        <w:tc>
          <w:tcPr>
            <w:tcW w:w="3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83CEAC1" w14:textId="77777777" w:rsidR="007948E7" w:rsidRDefault="00000000">
            <w:r>
              <w:rPr>
                <w:sz w:val="20"/>
                <w:szCs w:val="20"/>
              </w:rPr>
              <w:t>OpenAI brand identity. Signals authority and dominance.</w:t>
            </w:r>
          </w:p>
        </w:tc>
      </w:tr>
      <w:tr w:rsidR="007948E7" w14:paraId="34E2CE57"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FC7D4A0" w14:textId="77777777" w:rsidR="007948E7" w:rsidRDefault="00000000">
            <w:r>
              <w:rPr>
                <w:b/>
                <w:bCs/>
                <w:sz w:val="20"/>
                <w:szCs w:val="20"/>
              </w:rPr>
              <w:t>Anthropic</w:t>
            </w:r>
          </w:p>
        </w:tc>
        <w:tc>
          <w:tcPr>
            <w:tcW w:w="1600" w:type="dxa"/>
            <w:tcBorders>
              <w:top w:val="single" w:sz="1" w:space="0" w:color="B8C8E0"/>
              <w:left w:val="single" w:sz="1" w:space="0" w:color="B8C8E0"/>
              <w:bottom w:val="single" w:sz="1" w:space="0" w:color="B8C8E0"/>
              <w:right w:val="single" w:sz="1" w:space="0" w:color="B8C8E0"/>
            </w:tcBorders>
            <w:shd w:val="clear" w:color="auto" w:fill="D4622A"/>
            <w:tcMar>
              <w:top w:w="100" w:type="dxa"/>
              <w:left w:w="140" w:type="dxa"/>
              <w:bottom w:w="100" w:type="dxa"/>
              <w:right w:w="140" w:type="dxa"/>
            </w:tcMar>
          </w:tcPr>
          <w:p w14:paraId="4034F0B1"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A0285B9" w14:textId="77777777" w:rsidR="007948E7" w:rsidRDefault="00000000">
            <w:r>
              <w:rPr>
                <w:sz w:val="20"/>
                <w:szCs w:val="20"/>
              </w:rPr>
              <w:t>#D4622</w:t>
            </w:r>
            <w:proofErr w:type="gramStart"/>
            <w:r>
              <w:rPr>
                <w:sz w:val="20"/>
                <w:szCs w:val="20"/>
              </w:rPr>
              <w:t>A  Burnt</w:t>
            </w:r>
            <w:proofErr w:type="gramEnd"/>
            <w:r>
              <w:rPr>
                <w:sz w:val="20"/>
                <w:szCs w:val="20"/>
              </w:rPr>
              <w:t xml:space="preserve"> Orange</w:t>
            </w:r>
          </w:p>
        </w:tc>
        <w:tc>
          <w:tcPr>
            <w:tcW w:w="33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DD0F8BA" w14:textId="77777777" w:rsidR="007948E7" w:rsidRDefault="00000000">
            <w:r>
              <w:rPr>
                <w:sz w:val="20"/>
                <w:szCs w:val="20"/>
              </w:rPr>
              <w:t xml:space="preserve">Anthropic brand </w:t>
            </w:r>
            <w:proofErr w:type="spellStart"/>
            <w:r>
              <w:rPr>
                <w:sz w:val="20"/>
                <w:szCs w:val="20"/>
              </w:rPr>
              <w:t>color</w:t>
            </w:r>
            <w:proofErr w:type="spellEnd"/>
            <w:r>
              <w:rPr>
                <w:sz w:val="20"/>
                <w:szCs w:val="20"/>
              </w:rPr>
              <w:t>. Distinctive, warm, professional.</w:t>
            </w:r>
          </w:p>
        </w:tc>
      </w:tr>
      <w:tr w:rsidR="007948E7" w14:paraId="4B2117EB"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C12A01E" w14:textId="77777777" w:rsidR="007948E7" w:rsidRDefault="00000000">
            <w:r>
              <w:rPr>
                <w:b/>
                <w:bCs/>
                <w:sz w:val="20"/>
                <w:szCs w:val="20"/>
              </w:rPr>
              <w:t>Google</w:t>
            </w:r>
          </w:p>
        </w:tc>
        <w:tc>
          <w:tcPr>
            <w:tcW w:w="1600" w:type="dxa"/>
            <w:tcBorders>
              <w:top w:val="single" w:sz="1" w:space="0" w:color="B8C8E0"/>
              <w:left w:val="single" w:sz="1" w:space="0" w:color="B8C8E0"/>
              <w:bottom w:val="single" w:sz="1" w:space="0" w:color="B8C8E0"/>
              <w:right w:val="single" w:sz="1" w:space="0" w:color="B8C8E0"/>
            </w:tcBorders>
            <w:shd w:val="clear" w:color="auto" w:fill="4285F4"/>
            <w:tcMar>
              <w:top w:w="100" w:type="dxa"/>
              <w:left w:w="140" w:type="dxa"/>
              <w:bottom w:w="100" w:type="dxa"/>
              <w:right w:w="140" w:type="dxa"/>
            </w:tcMar>
          </w:tcPr>
          <w:p w14:paraId="719587CC"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0878257" w14:textId="77777777" w:rsidR="007948E7" w:rsidRDefault="00000000">
            <w:r>
              <w:rPr>
                <w:sz w:val="20"/>
                <w:szCs w:val="20"/>
              </w:rPr>
              <w:t>#4285F</w:t>
            </w:r>
            <w:proofErr w:type="gramStart"/>
            <w:r>
              <w:rPr>
                <w:sz w:val="20"/>
                <w:szCs w:val="20"/>
              </w:rPr>
              <w:t>4  Blue</w:t>
            </w:r>
            <w:proofErr w:type="gramEnd"/>
          </w:p>
        </w:tc>
        <w:tc>
          <w:tcPr>
            <w:tcW w:w="3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9A0065E" w14:textId="77777777" w:rsidR="007948E7" w:rsidRDefault="00000000">
            <w:r>
              <w:rPr>
                <w:sz w:val="20"/>
                <w:szCs w:val="20"/>
              </w:rPr>
              <w:t>Google brand blue. Instantly recognizable.</w:t>
            </w:r>
          </w:p>
        </w:tc>
      </w:tr>
      <w:tr w:rsidR="007948E7" w14:paraId="73A558CE"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F9F6F0F" w14:textId="77777777" w:rsidR="007948E7" w:rsidRDefault="00000000">
            <w:r>
              <w:rPr>
                <w:b/>
                <w:bCs/>
                <w:sz w:val="20"/>
                <w:szCs w:val="20"/>
              </w:rPr>
              <w:t>Cohere</w:t>
            </w:r>
          </w:p>
        </w:tc>
        <w:tc>
          <w:tcPr>
            <w:tcW w:w="1600" w:type="dxa"/>
            <w:tcBorders>
              <w:top w:val="single" w:sz="1" w:space="0" w:color="B8C8E0"/>
              <w:left w:val="single" w:sz="1" w:space="0" w:color="B8C8E0"/>
              <w:bottom w:val="single" w:sz="1" w:space="0" w:color="B8C8E0"/>
              <w:right w:val="single" w:sz="1" w:space="0" w:color="B8C8E0"/>
            </w:tcBorders>
            <w:shd w:val="clear" w:color="auto" w:fill="39594D"/>
            <w:tcMar>
              <w:top w:w="100" w:type="dxa"/>
              <w:left w:w="140" w:type="dxa"/>
              <w:bottom w:w="100" w:type="dxa"/>
              <w:right w:w="140" w:type="dxa"/>
            </w:tcMar>
          </w:tcPr>
          <w:p w14:paraId="32746060"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5A2191E" w14:textId="77777777" w:rsidR="007948E7" w:rsidRDefault="00000000">
            <w:r>
              <w:rPr>
                <w:sz w:val="20"/>
                <w:szCs w:val="20"/>
              </w:rPr>
              <w:t>#39594</w:t>
            </w:r>
            <w:proofErr w:type="gramStart"/>
            <w:r>
              <w:rPr>
                <w:sz w:val="20"/>
                <w:szCs w:val="20"/>
              </w:rPr>
              <w:t>D  Deep</w:t>
            </w:r>
            <w:proofErr w:type="gramEnd"/>
            <w:r>
              <w:rPr>
                <w:sz w:val="20"/>
                <w:szCs w:val="20"/>
              </w:rPr>
              <w:t xml:space="preserve"> Green</w:t>
            </w:r>
          </w:p>
        </w:tc>
        <w:tc>
          <w:tcPr>
            <w:tcW w:w="33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6AA705D" w14:textId="77777777" w:rsidR="007948E7" w:rsidRDefault="00000000">
            <w:r>
              <w:rPr>
                <w:sz w:val="20"/>
                <w:szCs w:val="20"/>
              </w:rPr>
              <w:t>Cohere brand green. Distinct from Google blue — no confusion.</w:t>
            </w:r>
          </w:p>
        </w:tc>
      </w:tr>
      <w:tr w:rsidR="007948E7" w14:paraId="5EAE54EC"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94CB971" w14:textId="77777777" w:rsidR="007948E7" w:rsidRDefault="00000000">
            <w:r>
              <w:rPr>
                <w:b/>
                <w:bCs/>
                <w:sz w:val="20"/>
                <w:szCs w:val="20"/>
              </w:rPr>
              <w:t>Mistral</w:t>
            </w:r>
          </w:p>
        </w:tc>
        <w:tc>
          <w:tcPr>
            <w:tcW w:w="1600" w:type="dxa"/>
            <w:tcBorders>
              <w:top w:val="single" w:sz="1" w:space="0" w:color="B8C8E0"/>
              <w:left w:val="single" w:sz="1" w:space="0" w:color="B8C8E0"/>
              <w:bottom w:val="single" w:sz="1" w:space="0" w:color="B8C8E0"/>
              <w:right w:val="single" w:sz="1" w:space="0" w:color="B8C8E0"/>
            </w:tcBorders>
            <w:shd w:val="clear" w:color="auto" w:fill="7B2D8B"/>
            <w:tcMar>
              <w:top w:w="100" w:type="dxa"/>
              <w:left w:w="140" w:type="dxa"/>
              <w:bottom w:w="100" w:type="dxa"/>
              <w:right w:w="140" w:type="dxa"/>
            </w:tcMar>
          </w:tcPr>
          <w:p w14:paraId="7F72FF63"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9BC62E9" w14:textId="77777777" w:rsidR="007948E7" w:rsidRDefault="00000000">
            <w:r>
              <w:rPr>
                <w:sz w:val="20"/>
                <w:szCs w:val="20"/>
              </w:rPr>
              <w:t>#7B2D8</w:t>
            </w:r>
            <w:proofErr w:type="gramStart"/>
            <w:r>
              <w:rPr>
                <w:sz w:val="20"/>
                <w:szCs w:val="20"/>
              </w:rPr>
              <w:t>B  Purple</w:t>
            </w:r>
            <w:proofErr w:type="gramEnd"/>
          </w:p>
        </w:tc>
        <w:tc>
          <w:tcPr>
            <w:tcW w:w="3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B2B7EDA" w14:textId="77777777" w:rsidR="007948E7" w:rsidRDefault="00000000">
            <w:r>
              <w:rPr>
                <w:sz w:val="20"/>
                <w:szCs w:val="20"/>
              </w:rPr>
              <w:t>Mistral brand identity. Separates it clearly from all other providers.</w:t>
            </w:r>
          </w:p>
        </w:tc>
      </w:tr>
    </w:tbl>
    <w:p w14:paraId="60FCD8DE" w14:textId="77777777" w:rsidR="007948E7" w:rsidRDefault="007948E7">
      <w:pPr>
        <w:spacing w:before="120"/>
      </w:pPr>
    </w:p>
    <w:p w14:paraId="3A95E520" w14:textId="77777777" w:rsidR="0090281D" w:rsidRDefault="0090281D">
      <w:pPr>
        <w:spacing w:before="120"/>
      </w:pPr>
    </w:p>
    <w:p w14:paraId="0FFEB07D" w14:textId="77777777" w:rsidR="0090281D" w:rsidRDefault="0090281D">
      <w:pPr>
        <w:spacing w:before="120"/>
      </w:pPr>
    </w:p>
    <w:p w14:paraId="07ECCF99" w14:textId="77777777" w:rsidR="0090281D" w:rsidRDefault="0090281D">
      <w:pPr>
        <w:spacing w:before="120"/>
      </w:pPr>
    </w:p>
    <w:p w14:paraId="3D2CD1B4" w14:textId="77777777" w:rsidR="0090281D" w:rsidRDefault="0090281D">
      <w:pPr>
        <w:spacing w:before="120"/>
      </w:pPr>
    </w:p>
    <w:p w14:paraId="6DCCDB14" w14:textId="77777777" w:rsidR="0090281D" w:rsidRDefault="0090281D">
      <w:pPr>
        <w:spacing w:before="120"/>
      </w:pPr>
    </w:p>
    <w:p w14:paraId="27DC6884" w14:textId="77777777" w:rsidR="0090281D" w:rsidRDefault="0090281D">
      <w:pPr>
        <w:spacing w:before="120"/>
      </w:pPr>
    </w:p>
    <w:p w14:paraId="5F18B582" w14:textId="77777777" w:rsidR="007948E7" w:rsidRDefault="00000000">
      <w:pPr>
        <w:pStyle w:val="Heading2"/>
        <w:spacing w:before="220" w:after="80"/>
      </w:pPr>
      <w:r>
        <w:rPr>
          <w:b/>
          <w:bCs/>
          <w:color w:val="2E5FA3"/>
          <w:sz w:val="24"/>
          <w:szCs w:val="24"/>
        </w:rPr>
        <w:lastRenderedPageBreak/>
        <w:t xml:space="preserve">4.2 Governance Tier </w:t>
      </w:r>
      <w:proofErr w:type="spellStart"/>
      <w:r>
        <w:rPr>
          <w:b/>
          <w:bCs/>
          <w:color w:val="2E5FA3"/>
          <w:sz w:val="24"/>
          <w:szCs w:val="24"/>
        </w:rPr>
        <w:t>Colors</w:t>
      </w:r>
      <w:proofErr w:type="spellEnd"/>
    </w:p>
    <w:p w14:paraId="51F8158A" w14:textId="77777777" w:rsidR="007948E7" w:rsidRDefault="00000000">
      <w:pPr>
        <w:spacing w:before="80" w:after="120" w:line="276" w:lineRule="auto"/>
        <w:jc w:val="both"/>
      </w:pPr>
      <w:r>
        <w:t xml:space="preserve">Tier </w:t>
      </w:r>
      <w:proofErr w:type="spellStart"/>
      <w:r>
        <w:t>colors</w:t>
      </w:r>
      <w:proofErr w:type="spellEnd"/>
      <w:r>
        <w:t xml:space="preserve"> are applied to all tier-level visuals — bar charts, matrix tables, scatter plots where tier is the encoding dimension. The three </w:t>
      </w:r>
      <w:proofErr w:type="spellStart"/>
      <w:r>
        <w:t>colors</w:t>
      </w:r>
      <w:proofErr w:type="spellEnd"/>
      <w:r>
        <w:t xml:space="preserve"> were chosen to be immediately distinguishable and to carry intuitive meaning.</w:t>
      </w:r>
    </w:p>
    <w:p w14:paraId="355F3CC1" w14:textId="77777777" w:rsidR="007948E7" w:rsidRDefault="007948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380"/>
        <w:gridCol w:w="3180"/>
      </w:tblGrid>
      <w:tr w:rsidR="007948E7" w14:paraId="643EBED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1AA87FD" w14:textId="77777777" w:rsidR="007948E7" w:rsidRDefault="00000000">
            <w:r>
              <w:rPr>
                <w:b/>
                <w:bCs/>
                <w:color w:val="FFFFFF"/>
                <w:sz w:val="20"/>
                <w:szCs w:val="20"/>
              </w:rPr>
              <w:t>Tier</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62FC084" w14:textId="77777777" w:rsidR="007948E7" w:rsidRDefault="00000000">
            <w:proofErr w:type="spellStart"/>
            <w:r>
              <w:rPr>
                <w:b/>
                <w:bCs/>
                <w:color w:val="FFFFFF"/>
                <w:sz w:val="20"/>
                <w:szCs w:val="20"/>
              </w:rPr>
              <w:t>Color</w:t>
            </w:r>
            <w:proofErr w:type="spellEnd"/>
          </w:p>
        </w:tc>
        <w:tc>
          <w:tcPr>
            <w:tcW w:w="23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0F945FF" w14:textId="77777777" w:rsidR="007948E7" w:rsidRDefault="00000000">
            <w:r>
              <w:rPr>
                <w:b/>
                <w:bCs/>
                <w:color w:val="FFFFFF"/>
                <w:sz w:val="20"/>
                <w:szCs w:val="20"/>
              </w:rPr>
              <w:t>Hex Code</w:t>
            </w:r>
          </w:p>
        </w:tc>
        <w:tc>
          <w:tcPr>
            <w:tcW w:w="31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5FF0A66" w14:textId="77777777" w:rsidR="007948E7" w:rsidRDefault="00000000">
            <w:r>
              <w:rPr>
                <w:b/>
                <w:bCs/>
                <w:color w:val="FFFFFF"/>
                <w:sz w:val="20"/>
                <w:szCs w:val="20"/>
              </w:rPr>
              <w:t>Design Intent</w:t>
            </w:r>
          </w:p>
        </w:tc>
      </w:tr>
      <w:tr w:rsidR="007948E7" w14:paraId="545B3D96" w14:textId="77777777">
        <w:tblPrEx>
          <w:tblCellMar>
            <w:top w:w="0" w:type="dxa"/>
            <w:bottom w:w="0" w:type="dxa"/>
          </w:tblCellMar>
        </w:tblPrEx>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62B8156" w14:textId="77777777" w:rsidR="007948E7" w:rsidRDefault="00000000">
            <w:r>
              <w:rPr>
                <w:b/>
                <w:bCs/>
                <w:sz w:val="20"/>
                <w:szCs w:val="20"/>
              </w:rPr>
              <w:t>lightweight</w:t>
            </w:r>
          </w:p>
        </w:tc>
        <w:tc>
          <w:tcPr>
            <w:tcW w:w="1600" w:type="dxa"/>
            <w:tcBorders>
              <w:top w:val="single" w:sz="1" w:space="0" w:color="B8C8E0"/>
              <w:left w:val="single" w:sz="1" w:space="0" w:color="B8C8E0"/>
              <w:bottom w:val="single" w:sz="1" w:space="0" w:color="B8C8E0"/>
              <w:right w:val="single" w:sz="1" w:space="0" w:color="B8C8E0"/>
            </w:tcBorders>
            <w:shd w:val="clear" w:color="auto" w:fill="53B8E0"/>
            <w:tcMar>
              <w:top w:w="100" w:type="dxa"/>
              <w:left w:w="140" w:type="dxa"/>
              <w:bottom w:w="100" w:type="dxa"/>
              <w:right w:w="140" w:type="dxa"/>
            </w:tcMar>
          </w:tcPr>
          <w:p w14:paraId="5E0DB488"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ED39BA6" w14:textId="77777777" w:rsidR="007948E7" w:rsidRDefault="00000000">
            <w:r>
              <w:rPr>
                <w:sz w:val="20"/>
                <w:szCs w:val="20"/>
              </w:rPr>
              <w:t>#53B8E</w:t>
            </w:r>
            <w:proofErr w:type="gramStart"/>
            <w:r>
              <w:rPr>
                <w:sz w:val="20"/>
                <w:szCs w:val="20"/>
              </w:rPr>
              <w:t>0  Sky</w:t>
            </w:r>
            <w:proofErr w:type="gramEnd"/>
            <w:r>
              <w:rPr>
                <w:sz w:val="20"/>
                <w:szCs w:val="20"/>
              </w:rPr>
              <w:t xml:space="preserve"> Blue</w:t>
            </w:r>
          </w:p>
        </w:tc>
        <w:tc>
          <w:tcPr>
            <w:tcW w:w="31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7070BC5" w14:textId="77777777" w:rsidR="007948E7" w:rsidRDefault="00000000">
            <w:r>
              <w:rPr>
                <w:sz w:val="20"/>
                <w:szCs w:val="20"/>
              </w:rPr>
              <w:t>Light, fast, accessible — matches the low-cost, high-speed nature of lightweight models.</w:t>
            </w:r>
          </w:p>
        </w:tc>
      </w:tr>
      <w:tr w:rsidR="007948E7" w14:paraId="43004244" w14:textId="77777777">
        <w:tblPrEx>
          <w:tblCellMar>
            <w:top w:w="0" w:type="dxa"/>
            <w:bottom w:w="0" w:type="dxa"/>
          </w:tblCellMar>
        </w:tblPrEx>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B568619" w14:textId="77777777" w:rsidR="007948E7" w:rsidRDefault="00000000">
            <w:r>
              <w:rPr>
                <w:b/>
                <w:bCs/>
                <w:sz w:val="20"/>
                <w:szCs w:val="20"/>
              </w:rPr>
              <w:t>balanced</w:t>
            </w:r>
          </w:p>
        </w:tc>
        <w:tc>
          <w:tcPr>
            <w:tcW w:w="1600" w:type="dxa"/>
            <w:tcBorders>
              <w:top w:val="single" w:sz="1" w:space="0" w:color="B8C8E0"/>
              <w:left w:val="single" w:sz="1" w:space="0" w:color="B8C8E0"/>
              <w:bottom w:val="single" w:sz="1" w:space="0" w:color="B8C8E0"/>
              <w:right w:val="single" w:sz="1" w:space="0" w:color="B8C8E0"/>
            </w:tcBorders>
            <w:shd w:val="clear" w:color="auto" w:fill="F5A623"/>
            <w:tcMar>
              <w:top w:w="100" w:type="dxa"/>
              <w:left w:w="140" w:type="dxa"/>
              <w:bottom w:w="100" w:type="dxa"/>
              <w:right w:w="140" w:type="dxa"/>
            </w:tcMar>
          </w:tcPr>
          <w:p w14:paraId="5163486B"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DE1AD1" w14:textId="77777777" w:rsidR="007948E7" w:rsidRDefault="00000000">
            <w:r>
              <w:rPr>
                <w:sz w:val="20"/>
                <w:szCs w:val="20"/>
              </w:rPr>
              <w:t>#F5A</w:t>
            </w:r>
            <w:proofErr w:type="gramStart"/>
            <w:r>
              <w:rPr>
                <w:sz w:val="20"/>
                <w:szCs w:val="20"/>
              </w:rPr>
              <w:t>623  Amber</w:t>
            </w:r>
            <w:proofErr w:type="gramEnd"/>
          </w:p>
        </w:tc>
        <w:tc>
          <w:tcPr>
            <w:tcW w:w="318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BB7BDFC" w14:textId="77777777" w:rsidR="007948E7" w:rsidRDefault="00000000">
            <w:r>
              <w:rPr>
                <w:sz w:val="20"/>
                <w:szCs w:val="20"/>
              </w:rPr>
              <w:t xml:space="preserve">Middle ground — warm but not urgent. Signals the cost-quality </w:t>
            </w:r>
            <w:proofErr w:type="spellStart"/>
            <w:r>
              <w:rPr>
                <w:sz w:val="20"/>
                <w:szCs w:val="20"/>
              </w:rPr>
              <w:t>tradeoff</w:t>
            </w:r>
            <w:proofErr w:type="spellEnd"/>
            <w:r>
              <w:rPr>
                <w:sz w:val="20"/>
                <w:szCs w:val="20"/>
              </w:rPr>
              <w:t xml:space="preserve"> tier.</w:t>
            </w:r>
          </w:p>
        </w:tc>
      </w:tr>
      <w:tr w:rsidR="007948E7" w14:paraId="612C4695" w14:textId="77777777">
        <w:tblPrEx>
          <w:tblCellMar>
            <w:top w:w="0" w:type="dxa"/>
            <w:bottom w:w="0" w:type="dxa"/>
          </w:tblCellMar>
        </w:tblPrEx>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BFAFCBF" w14:textId="77777777" w:rsidR="007948E7" w:rsidRDefault="00000000">
            <w:r>
              <w:rPr>
                <w:b/>
                <w:bCs/>
                <w:sz w:val="20"/>
                <w:szCs w:val="20"/>
              </w:rPr>
              <w:t>enterprise</w:t>
            </w:r>
          </w:p>
        </w:tc>
        <w:tc>
          <w:tcPr>
            <w:tcW w:w="1600" w:type="dxa"/>
            <w:tcBorders>
              <w:top w:val="single" w:sz="1" w:space="0" w:color="B8C8E0"/>
              <w:left w:val="single" w:sz="1" w:space="0" w:color="B8C8E0"/>
              <w:bottom w:val="single" w:sz="1" w:space="0" w:color="B8C8E0"/>
              <w:right w:val="single" w:sz="1" w:space="0" w:color="B8C8E0"/>
            </w:tcBorders>
            <w:shd w:val="clear" w:color="auto" w:fill="1B3A6B"/>
            <w:tcMar>
              <w:top w:w="100" w:type="dxa"/>
              <w:left w:w="140" w:type="dxa"/>
              <w:bottom w:w="100" w:type="dxa"/>
              <w:right w:w="140" w:type="dxa"/>
            </w:tcMar>
          </w:tcPr>
          <w:p w14:paraId="66BF279E" w14:textId="77777777" w:rsidR="007948E7" w:rsidRDefault="00000000">
            <w:pPr>
              <w:jc w:val="center"/>
            </w:pPr>
            <w:r>
              <w:rPr>
                <w:b/>
                <w:bCs/>
                <w:color w:val="FFFFFF"/>
                <w:sz w:val="20"/>
                <w:szCs w:val="20"/>
              </w:rPr>
              <w:t>■</w:t>
            </w:r>
          </w:p>
        </w:tc>
        <w:tc>
          <w:tcPr>
            <w:tcW w:w="23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E5FB888" w14:textId="77777777" w:rsidR="007948E7" w:rsidRDefault="00000000">
            <w:r>
              <w:rPr>
                <w:sz w:val="20"/>
                <w:szCs w:val="20"/>
              </w:rPr>
              <w:t>#1B3A6</w:t>
            </w:r>
            <w:proofErr w:type="gramStart"/>
            <w:r>
              <w:rPr>
                <w:sz w:val="20"/>
                <w:szCs w:val="20"/>
              </w:rPr>
              <w:t>B  Deep</w:t>
            </w:r>
            <w:proofErr w:type="gramEnd"/>
            <w:r>
              <w:rPr>
                <w:sz w:val="20"/>
                <w:szCs w:val="20"/>
              </w:rPr>
              <w:t xml:space="preserve"> Navy</w:t>
            </w:r>
          </w:p>
        </w:tc>
        <w:tc>
          <w:tcPr>
            <w:tcW w:w="318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93714F8" w14:textId="77777777" w:rsidR="007948E7" w:rsidRDefault="00000000">
            <w:r>
              <w:rPr>
                <w:sz w:val="20"/>
                <w:szCs w:val="20"/>
              </w:rPr>
              <w:t xml:space="preserve">Authority, precision, compliance. The highest-stakes tier gets the heaviest </w:t>
            </w:r>
            <w:proofErr w:type="spellStart"/>
            <w:r>
              <w:rPr>
                <w:sz w:val="20"/>
                <w:szCs w:val="20"/>
              </w:rPr>
              <w:t>color</w:t>
            </w:r>
            <w:proofErr w:type="spellEnd"/>
            <w:r>
              <w:rPr>
                <w:sz w:val="20"/>
                <w:szCs w:val="20"/>
              </w:rPr>
              <w:t>.</w:t>
            </w:r>
          </w:p>
        </w:tc>
      </w:tr>
    </w:tbl>
    <w:p w14:paraId="7A9CAFD2" w14:textId="77777777" w:rsidR="007948E7" w:rsidRDefault="007948E7">
      <w:pPr>
        <w:spacing w:before="120"/>
      </w:pPr>
    </w:p>
    <w:p w14:paraId="6812087E" w14:textId="77777777" w:rsidR="007948E7" w:rsidRDefault="00000000">
      <w:pPr>
        <w:pStyle w:val="Heading1"/>
        <w:spacing w:before="340" w:after="120"/>
      </w:pPr>
      <w:r>
        <w:rPr>
          <w:b/>
          <w:bCs/>
          <w:color w:val="1B3A6B"/>
          <w:sz w:val="28"/>
          <w:szCs w:val="28"/>
        </w:rPr>
        <w:t>5. Visual Design Choices</w:t>
      </w:r>
    </w:p>
    <w:p w14:paraId="16DCB7B2" w14:textId="77777777" w:rsidR="007948E7" w:rsidRDefault="00000000">
      <w:pPr>
        <w:spacing w:before="80" w:after="120" w:line="276" w:lineRule="auto"/>
        <w:jc w:val="both"/>
      </w:pPr>
      <w:r>
        <w:t>Every chart type was chosen for a specific reason. This table documents what was used, where, and why.</w:t>
      </w:r>
    </w:p>
    <w:p w14:paraId="2C7FED0D" w14:textId="77777777" w:rsidR="007948E7" w:rsidRDefault="007948E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7948E7" w14:paraId="6C8AC44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2B5C6D7" w14:textId="77777777" w:rsidR="007948E7" w:rsidRDefault="00000000">
            <w:r>
              <w:rPr>
                <w:b/>
                <w:bCs/>
                <w:color w:val="FFFFFF"/>
                <w:sz w:val="20"/>
                <w:szCs w:val="20"/>
              </w:rPr>
              <w:t>Dashboard</w:t>
            </w:r>
          </w:p>
        </w:tc>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29A0C02" w14:textId="77777777" w:rsidR="007948E7" w:rsidRDefault="00000000">
            <w:r>
              <w:rPr>
                <w:b/>
                <w:bCs/>
                <w:color w:val="FFFFFF"/>
                <w:sz w:val="20"/>
                <w:szCs w:val="20"/>
              </w:rPr>
              <w:t>Visual Type</w:t>
            </w:r>
          </w:p>
        </w:tc>
        <w:tc>
          <w:tcPr>
            <w:tcW w:w="5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ACB83C3" w14:textId="77777777" w:rsidR="007948E7" w:rsidRDefault="00000000">
            <w:r>
              <w:rPr>
                <w:b/>
                <w:bCs/>
                <w:color w:val="FFFFFF"/>
                <w:sz w:val="20"/>
                <w:szCs w:val="20"/>
              </w:rPr>
              <w:t>Design Decision</w:t>
            </w:r>
          </w:p>
        </w:tc>
      </w:tr>
      <w:tr w:rsidR="007948E7" w14:paraId="0A778A0C"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298BC20" w14:textId="77777777" w:rsidR="007948E7" w:rsidRDefault="00000000">
            <w:r>
              <w:rPr>
                <w:sz w:val="20"/>
                <w:szCs w:val="20"/>
              </w:rPr>
              <w:t>D1</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875D37E" w14:textId="77777777" w:rsidR="007948E7" w:rsidRDefault="00000000">
            <w:r>
              <w:rPr>
                <w:sz w:val="20"/>
                <w:szCs w:val="20"/>
              </w:rPr>
              <w:t>Clustered Bar</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B3F67A2" w14:textId="77777777" w:rsidR="007948E7" w:rsidRDefault="00000000">
            <w:r>
              <w:rPr>
                <w:sz w:val="20"/>
                <w:szCs w:val="20"/>
              </w:rPr>
              <w:t>Provider x Workload — grouped bars make cross-provider comparison within a workload immediate.</w:t>
            </w:r>
          </w:p>
        </w:tc>
      </w:tr>
      <w:tr w:rsidR="007948E7" w14:paraId="19EF0F16"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6F799D2" w14:textId="77777777" w:rsidR="007948E7" w:rsidRDefault="00000000">
            <w:r>
              <w:rPr>
                <w:sz w:val="20"/>
                <w:szCs w:val="20"/>
              </w:rPr>
              <w:t>D1</w:t>
            </w:r>
          </w:p>
        </w:tc>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3D4CE42" w14:textId="77777777" w:rsidR="007948E7" w:rsidRDefault="00000000">
            <w:r>
              <w:rPr>
                <w:sz w:val="20"/>
                <w:szCs w:val="20"/>
              </w:rPr>
              <w:t>Grouped Bar</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5F95999" w14:textId="77777777" w:rsidR="007948E7" w:rsidRDefault="00000000">
            <w:r>
              <w:rPr>
                <w:sz w:val="20"/>
                <w:szCs w:val="20"/>
              </w:rPr>
              <w:t xml:space="preserve">Model Tier x Workload — tier </w:t>
            </w:r>
            <w:proofErr w:type="spellStart"/>
            <w:r>
              <w:rPr>
                <w:sz w:val="20"/>
                <w:szCs w:val="20"/>
              </w:rPr>
              <w:t>color</w:t>
            </w:r>
            <w:proofErr w:type="spellEnd"/>
            <w:r>
              <w:rPr>
                <w:sz w:val="20"/>
                <w:szCs w:val="20"/>
              </w:rPr>
              <w:t xml:space="preserve"> system applied. Lightweight, balanced, enterprise instantly readable.</w:t>
            </w:r>
          </w:p>
        </w:tc>
      </w:tr>
      <w:tr w:rsidR="007948E7" w14:paraId="48A44E31"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32283EE" w14:textId="77777777" w:rsidR="007948E7" w:rsidRDefault="00000000">
            <w:r>
              <w:rPr>
                <w:sz w:val="20"/>
                <w:szCs w:val="20"/>
              </w:rPr>
              <w:t>D2</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E2BF922" w14:textId="77777777" w:rsidR="007948E7" w:rsidRDefault="00000000">
            <w:r>
              <w:rPr>
                <w:sz w:val="20"/>
                <w:szCs w:val="20"/>
              </w:rPr>
              <w:t>Horizontal Bar</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801659E" w14:textId="77777777" w:rsidR="007948E7" w:rsidRDefault="00000000">
            <w:r>
              <w:rPr>
                <w:sz w:val="20"/>
                <w:szCs w:val="20"/>
              </w:rPr>
              <w:t>Cost per governance point by workload. Horizontal layout suits label-heavy workload names.</w:t>
            </w:r>
          </w:p>
        </w:tc>
      </w:tr>
      <w:tr w:rsidR="007948E7" w14:paraId="753D42B0"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25887F0" w14:textId="77777777" w:rsidR="007948E7" w:rsidRDefault="00000000">
            <w:r>
              <w:rPr>
                <w:sz w:val="20"/>
                <w:szCs w:val="20"/>
              </w:rPr>
              <w:t>D2</w:t>
            </w:r>
          </w:p>
        </w:tc>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963EFBB" w14:textId="77777777" w:rsidR="007948E7" w:rsidRDefault="00000000">
            <w:r>
              <w:rPr>
                <w:sz w:val="20"/>
                <w:szCs w:val="20"/>
              </w:rPr>
              <w:t>Matrix Table</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09F0C835" w14:textId="77777777" w:rsidR="007948E7" w:rsidRDefault="00000000">
            <w:r>
              <w:rPr>
                <w:sz w:val="20"/>
                <w:szCs w:val="20"/>
              </w:rPr>
              <w:t>Workload x Tier — pivot structure shows governance score and cost side by side. No chart needed.</w:t>
            </w:r>
          </w:p>
        </w:tc>
      </w:tr>
      <w:tr w:rsidR="007948E7" w14:paraId="05EE74ED"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A3444EF" w14:textId="77777777" w:rsidR="007948E7" w:rsidRDefault="00000000">
            <w:r>
              <w:rPr>
                <w:sz w:val="20"/>
                <w:szCs w:val="20"/>
              </w:rPr>
              <w:t>D3</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2456D59" w14:textId="77777777" w:rsidR="007948E7" w:rsidRDefault="00000000">
            <w:r>
              <w:rPr>
                <w:sz w:val="20"/>
                <w:szCs w:val="20"/>
              </w:rPr>
              <w:t>Scatter — Dual Encoded</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C80D815" w14:textId="77777777" w:rsidR="007948E7" w:rsidRDefault="00000000">
            <w:r>
              <w:rPr>
                <w:sz w:val="20"/>
                <w:szCs w:val="20"/>
              </w:rPr>
              <w:t xml:space="preserve">Cost vs governance. </w:t>
            </w:r>
            <w:proofErr w:type="spellStart"/>
            <w:r>
              <w:rPr>
                <w:sz w:val="20"/>
                <w:szCs w:val="20"/>
              </w:rPr>
              <w:t>Color</w:t>
            </w:r>
            <w:proofErr w:type="spellEnd"/>
            <w:r>
              <w:rPr>
                <w:sz w:val="20"/>
                <w:szCs w:val="20"/>
              </w:rPr>
              <w:t xml:space="preserve"> = provider brand. Shape = model. Dual encoding removes ambiguity when points overlap.</w:t>
            </w:r>
          </w:p>
        </w:tc>
      </w:tr>
      <w:tr w:rsidR="007948E7" w14:paraId="73B8851E"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8084CAA" w14:textId="77777777" w:rsidR="007948E7" w:rsidRDefault="00000000">
            <w:r>
              <w:rPr>
                <w:sz w:val="20"/>
                <w:szCs w:val="20"/>
              </w:rPr>
              <w:t>D3</w:t>
            </w:r>
          </w:p>
        </w:tc>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171E1CF" w14:textId="77777777" w:rsidR="007948E7" w:rsidRDefault="00000000">
            <w:r>
              <w:rPr>
                <w:sz w:val="20"/>
                <w:szCs w:val="20"/>
              </w:rPr>
              <w:t>Bar — Horizontal</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F0AA0C" w14:textId="77777777" w:rsidR="007948E7" w:rsidRDefault="00000000">
            <w:r>
              <w:rPr>
                <w:sz w:val="20"/>
                <w:szCs w:val="20"/>
              </w:rPr>
              <w:t>Model reliability (STDDEV). Horizontal layout — 10 model names fit cleanly. Sorted ascending for instant ranking.</w:t>
            </w:r>
          </w:p>
        </w:tc>
      </w:tr>
      <w:tr w:rsidR="007948E7" w14:paraId="3232A1C5"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8D7CC48" w14:textId="77777777" w:rsidR="007948E7" w:rsidRDefault="00000000">
            <w:r>
              <w:rPr>
                <w:sz w:val="20"/>
                <w:szCs w:val="20"/>
              </w:rPr>
              <w:t>D4</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9C4ADB6" w14:textId="77777777" w:rsidR="007948E7" w:rsidRDefault="00000000">
            <w:r>
              <w:rPr>
                <w:sz w:val="20"/>
                <w:szCs w:val="20"/>
              </w:rPr>
              <w:t>Scatter — Bubble</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9490ADD" w14:textId="77777777" w:rsidR="007948E7" w:rsidRDefault="00000000">
            <w:r>
              <w:rPr>
                <w:sz w:val="20"/>
                <w:szCs w:val="20"/>
              </w:rPr>
              <w:t xml:space="preserve">Latency vs governance. Bubble size = cost. Three dimensions in one visual. Provider brand </w:t>
            </w:r>
            <w:proofErr w:type="spellStart"/>
            <w:r>
              <w:rPr>
                <w:sz w:val="20"/>
                <w:szCs w:val="20"/>
              </w:rPr>
              <w:t>colors</w:t>
            </w:r>
            <w:proofErr w:type="spellEnd"/>
            <w:r>
              <w:rPr>
                <w:sz w:val="20"/>
                <w:szCs w:val="20"/>
              </w:rPr>
              <w:t xml:space="preserve"> applied.</w:t>
            </w:r>
          </w:p>
        </w:tc>
      </w:tr>
      <w:tr w:rsidR="007948E7" w14:paraId="6FBCD275"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B74C21B" w14:textId="77777777" w:rsidR="007948E7" w:rsidRDefault="00000000">
            <w:r>
              <w:rPr>
                <w:sz w:val="20"/>
                <w:szCs w:val="20"/>
              </w:rPr>
              <w:t>D4</w:t>
            </w:r>
          </w:p>
        </w:tc>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94760D9" w14:textId="77777777" w:rsidR="007948E7" w:rsidRDefault="00000000">
            <w:r>
              <w:rPr>
                <w:sz w:val="20"/>
                <w:szCs w:val="20"/>
              </w:rPr>
              <w:t>Bar — Horizontal</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25B32E9" w14:textId="77777777" w:rsidR="007948E7" w:rsidRDefault="00000000">
            <w:proofErr w:type="spellStart"/>
            <w:r>
              <w:rPr>
                <w:sz w:val="20"/>
                <w:szCs w:val="20"/>
              </w:rPr>
              <w:t>Avg</w:t>
            </w:r>
            <w:proofErr w:type="spellEnd"/>
            <w:r>
              <w:rPr>
                <w:sz w:val="20"/>
                <w:szCs w:val="20"/>
              </w:rPr>
              <w:t xml:space="preserve"> latency by provider. Simple, sorted. Cohere outlier visible immediately.</w:t>
            </w:r>
          </w:p>
        </w:tc>
      </w:tr>
      <w:tr w:rsidR="007948E7" w14:paraId="5C0C41ED"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9E2CD16" w14:textId="77777777" w:rsidR="007948E7" w:rsidRDefault="00000000">
            <w:r>
              <w:rPr>
                <w:sz w:val="20"/>
                <w:szCs w:val="20"/>
              </w:rPr>
              <w:t>D5</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CE2A520" w14:textId="77777777" w:rsidR="007948E7" w:rsidRDefault="00000000">
            <w:r>
              <w:rPr>
                <w:sz w:val="20"/>
                <w:szCs w:val="20"/>
              </w:rPr>
              <w:t>Scatter — Bubble</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DE59830" w14:textId="77777777" w:rsidR="007948E7" w:rsidRDefault="00000000">
            <w:r>
              <w:rPr>
                <w:sz w:val="20"/>
                <w:szCs w:val="20"/>
              </w:rPr>
              <w:t>Cost efficiency landscape. Governance vs cost per unit. Benchmark reference lines added to both axes.</w:t>
            </w:r>
          </w:p>
        </w:tc>
      </w:tr>
      <w:tr w:rsidR="007948E7" w14:paraId="7279A82B"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D4A0ECB" w14:textId="77777777" w:rsidR="007948E7" w:rsidRDefault="00000000">
            <w:r>
              <w:rPr>
                <w:sz w:val="20"/>
                <w:szCs w:val="20"/>
              </w:rPr>
              <w:t>D5</w:t>
            </w:r>
          </w:p>
        </w:tc>
        <w:tc>
          <w:tcPr>
            <w:tcW w:w="2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D265896" w14:textId="77777777" w:rsidR="007948E7" w:rsidRDefault="00000000">
            <w:r>
              <w:rPr>
                <w:sz w:val="20"/>
                <w:szCs w:val="20"/>
              </w:rPr>
              <w:t>Bar — Horizontal</w:t>
            </w:r>
          </w:p>
        </w:tc>
        <w:tc>
          <w:tcPr>
            <w:tcW w:w="5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43216056" w14:textId="77777777" w:rsidR="007948E7" w:rsidRDefault="00000000">
            <w:r>
              <w:rPr>
                <w:sz w:val="20"/>
                <w:szCs w:val="20"/>
              </w:rPr>
              <w:t>Hallucination risk by provider. Sorted descending — highest risk visible at top. Critical for compliance review.</w:t>
            </w:r>
          </w:p>
        </w:tc>
      </w:tr>
      <w:tr w:rsidR="007948E7" w14:paraId="5A7A563C" w14:textId="77777777">
        <w:tblPrEx>
          <w:tblCellMar>
            <w:top w:w="0" w:type="dxa"/>
            <w:bottom w:w="0" w:type="dxa"/>
          </w:tblCellMar>
        </w:tblPrEx>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0356D29" w14:textId="77777777" w:rsidR="007948E7" w:rsidRDefault="00000000">
            <w:r>
              <w:rPr>
                <w:sz w:val="20"/>
                <w:szCs w:val="20"/>
              </w:rPr>
              <w:t>D6</w:t>
            </w:r>
          </w:p>
        </w:tc>
        <w:tc>
          <w:tcPr>
            <w:tcW w:w="2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5CA99B54" w14:textId="77777777" w:rsidR="007948E7" w:rsidRDefault="00000000">
            <w:r>
              <w:rPr>
                <w:sz w:val="20"/>
                <w:szCs w:val="20"/>
              </w:rPr>
              <w:t>KPI Cards + Table</w:t>
            </w:r>
          </w:p>
        </w:tc>
        <w:tc>
          <w:tcPr>
            <w:tcW w:w="5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1B8D2C2" w14:textId="77777777" w:rsidR="007948E7" w:rsidRDefault="00000000">
            <w:r>
              <w:rPr>
                <w:sz w:val="20"/>
                <w:szCs w:val="20"/>
              </w:rPr>
              <w:t>Cards surface five key findings. Table gives the full 15-row provider-workload scorecard in one view.</w:t>
            </w:r>
          </w:p>
        </w:tc>
      </w:tr>
    </w:tbl>
    <w:p w14:paraId="224B1C15" w14:textId="77777777" w:rsidR="007948E7" w:rsidRDefault="007948E7">
      <w:pPr>
        <w:spacing w:before="120"/>
      </w:pPr>
    </w:p>
    <w:p w14:paraId="368114C4" w14:textId="77777777" w:rsidR="007948E7" w:rsidRDefault="00000000">
      <w:pPr>
        <w:pStyle w:val="Heading1"/>
        <w:spacing w:before="340" w:after="120"/>
      </w:pPr>
      <w:r>
        <w:rPr>
          <w:b/>
          <w:bCs/>
          <w:color w:val="1B3A6B"/>
          <w:sz w:val="28"/>
          <w:szCs w:val="28"/>
        </w:rPr>
        <w:t>6. Scatter Plot Design — Dual Encoding</w:t>
      </w:r>
    </w:p>
    <w:p w14:paraId="11067374" w14:textId="77777777" w:rsidR="007948E7" w:rsidRDefault="00000000">
      <w:pPr>
        <w:spacing w:before="80" w:after="120" w:line="276" w:lineRule="auto"/>
        <w:jc w:val="both"/>
      </w:pPr>
      <w:r>
        <w:t xml:space="preserve">The two scatter plots in D3 and D4 use dual encoding — each data point is encoded with both </w:t>
      </w:r>
      <w:proofErr w:type="spellStart"/>
      <w:r>
        <w:t>color</w:t>
      </w:r>
      <w:proofErr w:type="spellEnd"/>
      <w:r>
        <w:t xml:space="preserve"> and shape. This was a deliberate choice, not a default.</w:t>
      </w:r>
    </w:p>
    <w:p w14:paraId="3F87F139" w14:textId="77777777" w:rsidR="007948E7" w:rsidRDefault="007948E7">
      <w:pPr>
        <w:spacing w:before="80"/>
      </w:pPr>
    </w:p>
    <w:p w14:paraId="5D3DE781" w14:textId="77777777" w:rsidR="007948E7" w:rsidRDefault="00000000">
      <w:pPr>
        <w:pStyle w:val="ListParagraph"/>
        <w:numPr>
          <w:ilvl w:val="0"/>
          <w:numId w:val="2"/>
        </w:numPr>
        <w:spacing w:before="60" w:after="80" w:line="260" w:lineRule="auto"/>
      </w:pPr>
      <w:proofErr w:type="spellStart"/>
      <w:r>
        <w:rPr>
          <w:b/>
          <w:bCs/>
          <w:color w:val="1B3A6B"/>
        </w:rPr>
        <w:t>Color</w:t>
      </w:r>
      <w:proofErr w:type="spellEnd"/>
      <w:r>
        <w:t xml:space="preserve"> — Encodes provider identity using brand </w:t>
      </w:r>
      <w:proofErr w:type="spellStart"/>
      <w:r>
        <w:t>colors</w:t>
      </w:r>
      <w:proofErr w:type="spellEnd"/>
      <w:r>
        <w:t>. OpenAI = black, Anthropic = burnt orange, Google = blue, Cohere = deep green, Mistral = purple.</w:t>
      </w:r>
    </w:p>
    <w:p w14:paraId="2AE72ADD" w14:textId="77777777" w:rsidR="007948E7" w:rsidRDefault="00000000">
      <w:pPr>
        <w:pStyle w:val="ListParagraph"/>
        <w:numPr>
          <w:ilvl w:val="0"/>
          <w:numId w:val="2"/>
        </w:numPr>
        <w:spacing w:before="60" w:after="80" w:line="260" w:lineRule="auto"/>
      </w:pPr>
      <w:r>
        <w:rPr>
          <w:b/>
          <w:bCs/>
          <w:color w:val="1B3A6B"/>
        </w:rPr>
        <w:t>Shape</w:t>
      </w:r>
      <w:r>
        <w:t xml:space="preserve"> — Encodes individual model identity. Each of the 10 models has a distinct shape — circle, square, triangle, diamond, cross, and variants.</w:t>
      </w:r>
    </w:p>
    <w:p w14:paraId="01642273" w14:textId="77777777" w:rsidR="007948E7" w:rsidRDefault="00000000">
      <w:pPr>
        <w:pStyle w:val="ListParagraph"/>
        <w:numPr>
          <w:ilvl w:val="0"/>
          <w:numId w:val="2"/>
        </w:numPr>
        <w:spacing w:before="60" w:after="80" w:line="260" w:lineRule="auto"/>
      </w:pPr>
      <w:r>
        <w:rPr>
          <w:b/>
          <w:bCs/>
          <w:color w:val="1B3A6B"/>
        </w:rPr>
        <w:t>Bubble size</w:t>
      </w:r>
      <w:r>
        <w:t xml:space="preserve"> — On D4 and D5 scatter plots, bubble size encodes a third dimension — average cost per run. Larger bubble = higher cost.</w:t>
      </w:r>
    </w:p>
    <w:p w14:paraId="798A5829" w14:textId="77777777" w:rsidR="007948E7" w:rsidRDefault="00000000">
      <w:pPr>
        <w:pStyle w:val="ListParagraph"/>
        <w:numPr>
          <w:ilvl w:val="0"/>
          <w:numId w:val="2"/>
        </w:numPr>
        <w:spacing w:before="60" w:after="80" w:line="260" w:lineRule="auto"/>
      </w:pPr>
      <w:r>
        <w:rPr>
          <w:b/>
          <w:bCs/>
          <w:color w:val="1B3A6B"/>
        </w:rPr>
        <w:t>Why dual encoding</w:t>
      </w:r>
      <w:r>
        <w:t xml:space="preserve"> — When scatter points cluster or overlap, </w:t>
      </w:r>
      <w:proofErr w:type="spellStart"/>
      <w:r>
        <w:t>color</w:t>
      </w:r>
      <w:proofErr w:type="spellEnd"/>
      <w:r>
        <w:t xml:space="preserve"> alone is insufficient to distinguish providers. Shape adds a second decoding path — the reader can identify a point using either dimension independently.</w:t>
      </w:r>
    </w:p>
    <w:p w14:paraId="4B651A8D" w14:textId="77777777" w:rsidR="007948E7" w:rsidRDefault="00000000">
      <w:pPr>
        <w:pStyle w:val="ListParagraph"/>
        <w:numPr>
          <w:ilvl w:val="0"/>
          <w:numId w:val="2"/>
        </w:numPr>
        <w:spacing w:before="60" w:after="80" w:line="260" w:lineRule="auto"/>
      </w:pPr>
      <w:r>
        <w:rPr>
          <w:b/>
          <w:bCs/>
          <w:color w:val="1B3A6B"/>
        </w:rPr>
        <w:t>Benchmark lines</w:t>
      </w:r>
      <w:r>
        <w:t xml:space="preserve"> — Reference lines added to both axes on scatter plots. They create four quadrants — top-left is the ideal zone: high governance, low cost or latency.</w:t>
      </w:r>
    </w:p>
    <w:p w14:paraId="00B869C5" w14:textId="77777777" w:rsidR="007948E7" w:rsidRDefault="007948E7">
      <w:pPr>
        <w:spacing w:before="120"/>
      </w:pPr>
    </w:p>
    <w:p w14:paraId="3DBE562D" w14:textId="77777777" w:rsidR="007948E7" w:rsidRDefault="00000000">
      <w:pPr>
        <w:pStyle w:val="Heading1"/>
        <w:spacing w:before="340" w:after="120"/>
      </w:pPr>
      <w:r>
        <w:rPr>
          <w:b/>
          <w:bCs/>
          <w:color w:val="1B3A6B"/>
          <w:sz w:val="28"/>
          <w:szCs w:val="28"/>
        </w:rPr>
        <w:t>7. Benchmark Reference Lines</w:t>
      </w:r>
    </w:p>
    <w:p w14:paraId="49FCCB3F" w14:textId="77777777" w:rsidR="007948E7" w:rsidRDefault="00000000">
      <w:pPr>
        <w:spacing w:before="80" w:after="120" w:line="276" w:lineRule="auto"/>
        <w:jc w:val="both"/>
      </w:pPr>
      <w:r>
        <w:t>Reference lines are added to scatter plots across D3, D4, and D5. They are not decorative. They create a decision framework directly on the visual — a reader can immediately see which providers are above or below the acceptable threshold without reading numbers.</w:t>
      </w:r>
    </w:p>
    <w:p w14:paraId="020E1F76" w14:textId="77777777" w:rsidR="007948E7" w:rsidRDefault="007948E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7948E7" w14:paraId="7D9A86DA"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2D990BC" w14:textId="77777777" w:rsidR="007948E7" w:rsidRDefault="00000000">
            <w:r>
              <w:rPr>
                <w:b/>
                <w:bCs/>
                <w:color w:val="FFFFFF"/>
                <w:sz w:val="20"/>
                <w:szCs w:val="20"/>
              </w:rPr>
              <w:t>Dashboard</w:t>
            </w:r>
          </w:p>
        </w:tc>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F927636" w14:textId="77777777" w:rsidR="007948E7" w:rsidRDefault="00000000">
            <w:r>
              <w:rPr>
                <w:b/>
                <w:bCs/>
                <w:color w:val="FFFFFF"/>
                <w:sz w:val="20"/>
                <w:szCs w:val="20"/>
              </w:rPr>
              <w:t>Reference Line</w:t>
            </w:r>
          </w:p>
        </w:tc>
        <w:tc>
          <w:tcPr>
            <w:tcW w:w="4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0CDAE0A" w14:textId="77777777" w:rsidR="007948E7" w:rsidRDefault="00000000">
            <w:r>
              <w:rPr>
                <w:b/>
                <w:bCs/>
                <w:color w:val="FFFFFF"/>
                <w:sz w:val="20"/>
                <w:szCs w:val="20"/>
              </w:rPr>
              <w:t>Purpose</w:t>
            </w:r>
          </w:p>
        </w:tc>
      </w:tr>
      <w:tr w:rsidR="007948E7" w14:paraId="52E2CA17"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C345581" w14:textId="77777777" w:rsidR="007948E7" w:rsidRDefault="00000000">
            <w:r>
              <w:rPr>
                <w:sz w:val="20"/>
                <w:szCs w:val="20"/>
              </w:rPr>
              <w:t>D3 — Cost vs Governance</w:t>
            </w:r>
          </w:p>
        </w:tc>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EC0F686" w14:textId="77777777" w:rsidR="007948E7" w:rsidRDefault="00000000">
            <w:r>
              <w:rPr>
                <w:sz w:val="20"/>
                <w:szCs w:val="20"/>
              </w:rPr>
              <w:t>Cost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BBE6983" w14:textId="77777777" w:rsidR="007948E7" w:rsidRDefault="00000000">
            <w:r>
              <w:rPr>
                <w:sz w:val="20"/>
                <w:szCs w:val="20"/>
              </w:rPr>
              <w:t>Vertical line at portfolio average cost per run. Models to the right are above average cost.</w:t>
            </w:r>
          </w:p>
        </w:tc>
      </w:tr>
      <w:tr w:rsidR="007948E7" w14:paraId="77459BDD"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16FA5CD" w14:textId="77777777" w:rsidR="007948E7" w:rsidRDefault="00000000">
            <w:r>
              <w:rPr>
                <w:sz w:val="20"/>
                <w:szCs w:val="20"/>
              </w:rPr>
              <w:t>D3 — Cost vs Governance</w:t>
            </w:r>
          </w:p>
        </w:tc>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3389453" w14:textId="77777777" w:rsidR="007948E7" w:rsidRDefault="00000000">
            <w:r>
              <w:rPr>
                <w:sz w:val="20"/>
                <w:szCs w:val="20"/>
              </w:rPr>
              <w:t>Governance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C9EE860" w14:textId="77777777" w:rsidR="007948E7" w:rsidRDefault="00000000">
            <w:r>
              <w:rPr>
                <w:sz w:val="20"/>
                <w:szCs w:val="20"/>
              </w:rPr>
              <w:t>Horizontal line at portfolio average governance score. Models below are underperforming.</w:t>
            </w:r>
          </w:p>
        </w:tc>
      </w:tr>
      <w:tr w:rsidR="007948E7" w14:paraId="0145A804"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4796A31" w14:textId="77777777" w:rsidR="007948E7" w:rsidRDefault="00000000">
            <w:r>
              <w:rPr>
                <w:sz w:val="20"/>
                <w:szCs w:val="20"/>
              </w:rPr>
              <w:t>D4 — Latency vs Governance</w:t>
            </w:r>
          </w:p>
        </w:tc>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0EBABDA" w14:textId="77777777" w:rsidR="007948E7" w:rsidRDefault="00000000">
            <w:r>
              <w:rPr>
                <w:sz w:val="20"/>
                <w:szCs w:val="20"/>
              </w:rPr>
              <w:t>Latency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C2C79B3" w14:textId="77777777" w:rsidR="007948E7" w:rsidRDefault="00000000">
            <w:r>
              <w:rPr>
                <w:sz w:val="20"/>
                <w:szCs w:val="20"/>
              </w:rPr>
              <w:t>Vertical line at acceptable latency threshold. Providers to the right have unacceptable response times.</w:t>
            </w:r>
          </w:p>
        </w:tc>
      </w:tr>
      <w:tr w:rsidR="007948E7" w14:paraId="497F1ED7"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4B5454" w14:textId="77777777" w:rsidR="007948E7" w:rsidRDefault="00000000">
            <w:r>
              <w:rPr>
                <w:sz w:val="20"/>
                <w:szCs w:val="20"/>
              </w:rPr>
              <w:t>D4 — Latency vs Governance</w:t>
            </w:r>
          </w:p>
        </w:tc>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2CEF012C" w14:textId="77777777" w:rsidR="007948E7" w:rsidRDefault="00000000">
            <w:r>
              <w:rPr>
                <w:sz w:val="20"/>
                <w:szCs w:val="20"/>
              </w:rPr>
              <w:t>Governance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0CAE14" w14:textId="77777777" w:rsidR="007948E7" w:rsidRDefault="00000000">
            <w:r>
              <w:rPr>
                <w:sz w:val="20"/>
                <w:szCs w:val="20"/>
              </w:rPr>
              <w:t>Horizontal line at minimum governance quality threshold for production use.</w:t>
            </w:r>
          </w:p>
        </w:tc>
      </w:tr>
      <w:tr w:rsidR="007948E7" w14:paraId="28F42C3B"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CCEF553" w14:textId="77777777" w:rsidR="007948E7" w:rsidRDefault="00000000">
            <w:r>
              <w:rPr>
                <w:sz w:val="20"/>
                <w:szCs w:val="20"/>
              </w:rPr>
              <w:t>D5 — Risk &amp; Cost</w:t>
            </w:r>
          </w:p>
        </w:tc>
        <w:tc>
          <w:tcPr>
            <w:tcW w:w="2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1AA6351D" w14:textId="77777777" w:rsidR="007948E7" w:rsidRDefault="00000000">
            <w:r>
              <w:rPr>
                <w:sz w:val="20"/>
                <w:szCs w:val="20"/>
              </w:rPr>
              <w:t>Portfolio Cost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755069B5" w14:textId="77777777" w:rsidR="007948E7" w:rsidRDefault="00000000">
            <w:r>
              <w:rPr>
                <w:sz w:val="20"/>
                <w:szCs w:val="20"/>
              </w:rPr>
              <w:t>Vertical reference at average portfolio cost per governance unit.</w:t>
            </w:r>
          </w:p>
        </w:tc>
      </w:tr>
      <w:tr w:rsidR="007948E7" w14:paraId="6095DE26" w14:textId="77777777">
        <w:tblPrEx>
          <w:tblCellMar>
            <w:top w:w="0" w:type="dxa"/>
            <w:bottom w:w="0" w:type="dxa"/>
          </w:tblCellMar>
        </w:tblPrEx>
        <w:tc>
          <w:tcPr>
            <w:tcW w:w="24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3A51A76E" w14:textId="77777777" w:rsidR="007948E7" w:rsidRDefault="00000000">
            <w:r>
              <w:rPr>
                <w:sz w:val="20"/>
                <w:szCs w:val="20"/>
              </w:rPr>
              <w:t>D5 — Risk &amp; Cost</w:t>
            </w:r>
          </w:p>
        </w:tc>
        <w:tc>
          <w:tcPr>
            <w:tcW w:w="2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990F230" w14:textId="77777777" w:rsidR="007948E7" w:rsidRDefault="00000000">
            <w:r>
              <w:rPr>
                <w:sz w:val="20"/>
                <w:szCs w:val="20"/>
              </w:rPr>
              <w:t>Governance Quality Benchmark</w:t>
            </w:r>
          </w:p>
        </w:tc>
        <w:tc>
          <w:tcPr>
            <w:tcW w:w="49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8A8035C" w14:textId="77777777" w:rsidR="007948E7" w:rsidRDefault="00000000">
            <w:r>
              <w:rPr>
                <w:sz w:val="20"/>
                <w:szCs w:val="20"/>
              </w:rPr>
              <w:t>Horizontal line at minimum acceptable governance score for fintech reporting.</w:t>
            </w:r>
          </w:p>
        </w:tc>
      </w:tr>
    </w:tbl>
    <w:p w14:paraId="70785036" w14:textId="77777777" w:rsidR="007948E7" w:rsidRDefault="007948E7">
      <w:pPr>
        <w:spacing w:before="120"/>
      </w:pPr>
    </w:p>
    <w:p w14:paraId="52AA23D9" w14:textId="77777777" w:rsidR="007948E7" w:rsidRDefault="00000000">
      <w:pPr>
        <w:pStyle w:val="Heading1"/>
        <w:spacing w:before="340" w:after="120"/>
      </w:pPr>
      <w:r>
        <w:rPr>
          <w:b/>
          <w:bCs/>
          <w:color w:val="1B3A6B"/>
          <w:sz w:val="28"/>
          <w:szCs w:val="28"/>
        </w:rPr>
        <w:t>8. KPI Cards Design</w:t>
      </w:r>
    </w:p>
    <w:p w14:paraId="642E1BF7" w14:textId="77777777" w:rsidR="007948E7" w:rsidRDefault="00000000">
      <w:pPr>
        <w:spacing w:before="80" w:after="120" w:line="276" w:lineRule="auto"/>
        <w:jc w:val="both"/>
      </w:pPr>
      <w:r>
        <w:lastRenderedPageBreak/>
        <w:t xml:space="preserve">KPI cards are used on D1, D2, D3, D4, D5, and D6. Each card surfaces one number with a label and an icon. The design rule is simple — the number is the hero. No background </w:t>
      </w:r>
      <w:proofErr w:type="spellStart"/>
      <w:r>
        <w:t>color</w:t>
      </w:r>
      <w:proofErr w:type="spellEnd"/>
      <w:r>
        <w:t>. No border. Clean white card with the metric at large font size.</w:t>
      </w:r>
    </w:p>
    <w:p w14:paraId="57F3AE4B" w14:textId="77777777" w:rsidR="007948E7" w:rsidRDefault="007948E7">
      <w:pPr>
        <w:spacing w:before="80"/>
      </w:pPr>
    </w:p>
    <w:p w14:paraId="3A724BBD" w14:textId="77777777" w:rsidR="007948E7" w:rsidRDefault="00000000">
      <w:pPr>
        <w:spacing w:before="80" w:after="120" w:line="276" w:lineRule="auto"/>
        <w:jc w:val="both"/>
      </w:pPr>
      <w:r>
        <w:t>D6 carries the five most important summary cards in the entire project — the five findings that answer the executive question directly.</w:t>
      </w:r>
    </w:p>
    <w:p w14:paraId="4DD058FE" w14:textId="77777777" w:rsidR="007948E7" w:rsidRDefault="007948E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7948E7" w14:paraId="4D8CC60E"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CF2DF1D" w14:textId="77777777" w:rsidR="007948E7" w:rsidRDefault="00000000">
            <w:r>
              <w:rPr>
                <w:b/>
                <w:bCs/>
                <w:color w:val="FFFFFF"/>
                <w:sz w:val="20"/>
                <w:szCs w:val="20"/>
              </w:rPr>
              <w:t>KPI Card</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C664962" w14:textId="77777777" w:rsidR="007948E7" w:rsidRDefault="00000000">
            <w:r>
              <w:rPr>
                <w:b/>
                <w:bCs/>
                <w:color w:val="FFFFFF"/>
                <w:sz w:val="20"/>
                <w:szCs w:val="20"/>
              </w:rPr>
              <w:t>Value</w:t>
            </w:r>
          </w:p>
        </w:tc>
        <w:tc>
          <w:tcPr>
            <w:tcW w:w="4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B19F305" w14:textId="77777777" w:rsidR="007948E7" w:rsidRDefault="00000000">
            <w:r>
              <w:rPr>
                <w:b/>
                <w:bCs/>
                <w:color w:val="FFFFFF"/>
                <w:sz w:val="20"/>
                <w:szCs w:val="20"/>
              </w:rPr>
              <w:t>What It Tells You</w:t>
            </w:r>
          </w:p>
        </w:tc>
      </w:tr>
      <w:tr w:rsidR="007948E7" w14:paraId="16B0A7DD"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2C96EC9E" w14:textId="77777777" w:rsidR="007948E7" w:rsidRDefault="00000000">
            <w:r>
              <w:rPr>
                <w:sz w:val="20"/>
                <w:szCs w:val="20"/>
              </w:rPr>
              <w:t>Best Overall Provider</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5002198" w14:textId="77777777" w:rsidR="007948E7" w:rsidRDefault="00000000">
            <w:r>
              <w:rPr>
                <w:sz w:val="20"/>
                <w:szCs w:val="20"/>
              </w:rPr>
              <w:t>OpenAI</w:t>
            </w:r>
          </w:p>
        </w:tc>
        <w:tc>
          <w:tcPr>
            <w:tcW w:w="4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115A6E6" w14:textId="77777777" w:rsidR="007948E7" w:rsidRDefault="00000000">
            <w:r>
              <w:rPr>
                <w:sz w:val="20"/>
                <w:szCs w:val="20"/>
              </w:rPr>
              <w:t>Most consistent governance across all three workloads at mid-range cost.</w:t>
            </w:r>
          </w:p>
        </w:tc>
      </w:tr>
      <w:tr w:rsidR="007948E7" w14:paraId="3AC723DA"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22488C1" w14:textId="77777777" w:rsidR="007948E7" w:rsidRDefault="00000000">
            <w:r>
              <w:rPr>
                <w:sz w:val="20"/>
                <w:szCs w:val="20"/>
              </w:rPr>
              <w:t>Most Reliable Model</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1E9F01D2" w14:textId="77777777" w:rsidR="007948E7" w:rsidRDefault="00000000">
            <w:r>
              <w:rPr>
                <w:sz w:val="20"/>
                <w:szCs w:val="20"/>
              </w:rPr>
              <w:t>mistral-large</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515A77C" w14:textId="77777777" w:rsidR="007948E7" w:rsidRDefault="00000000">
            <w:r>
              <w:rPr>
                <w:sz w:val="20"/>
                <w:szCs w:val="20"/>
              </w:rPr>
              <w:t>Lowest STDDEV — most predictable output quality across all states.</w:t>
            </w:r>
          </w:p>
        </w:tc>
      </w:tr>
      <w:tr w:rsidR="007948E7" w14:paraId="1FBAAA1A"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B739F1" w14:textId="77777777" w:rsidR="007948E7" w:rsidRDefault="00000000">
            <w:r>
              <w:rPr>
                <w:sz w:val="20"/>
                <w:szCs w:val="20"/>
              </w:rPr>
              <w:t>Highest Waste Workload</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4367A91" w14:textId="77777777" w:rsidR="007948E7" w:rsidRDefault="00000000">
            <w:r>
              <w:rPr>
                <w:sz w:val="20"/>
                <w:szCs w:val="20"/>
              </w:rPr>
              <w:t>Compliance Grade</w:t>
            </w:r>
          </w:p>
        </w:tc>
        <w:tc>
          <w:tcPr>
            <w:tcW w:w="4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3908C001" w14:textId="77777777" w:rsidR="007948E7" w:rsidRDefault="00000000">
            <w:r>
              <w:rPr>
                <w:sz w:val="20"/>
                <w:szCs w:val="20"/>
              </w:rPr>
              <w:t>Enterprise models misallocated to compliance workloads generate the most cost waste.</w:t>
            </w:r>
          </w:p>
        </w:tc>
      </w:tr>
      <w:tr w:rsidR="007948E7" w14:paraId="0847F760"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571C62B6" w14:textId="77777777" w:rsidR="007948E7" w:rsidRDefault="00000000">
            <w:r>
              <w:rPr>
                <w:sz w:val="20"/>
                <w:szCs w:val="20"/>
              </w:rPr>
              <w:t>Total Cost Waste ($)</w:t>
            </w:r>
          </w:p>
        </w:tc>
        <w:tc>
          <w:tcPr>
            <w:tcW w:w="216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7703D3F4" w14:textId="77777777" w:rsidR="007948E7" w:rsidRDefault="00000000">
            <w:r>
              <w:rPr>
                <w:sz w:val="20"/>
                <w:szCs w:val="20"/>
              </w:rPr>
              <w:t>$2.67</w:t>
            </w:r>
          </w:p>
        </w:tc>
        <w:tc>
          <w:tcPr>
            <w:tcW w:w="4200" w:type="dxa"/>
            <w:tcBorders>
              <w:top w:val="single" w:sz="1" w:space="0" w:color="B8C8E0"/>
              <w:left w:val="single" w:sz="1" w:space="0" w:color="B8C8E0"/>
              <w:bottom w:val="single" w:sz="1" w:space="0" w:color="B8C8E0"/>
              <w:right w:val="single" w:sz="1" w:space="0" w:color="B8C8E0"/>
            </w:tcBorders>
            <w:shd w:val="clear" w:color="auto" w:fill="FFFFFF"/>
            <w:tcMar>
              <w:top w:w="80" w:type="dxa"/>
              <w:left w:w="140" w:type="dxa"/>
              <w:bottom w:w="80" w:type="dxa"/>
              <w:right w:w="140" w:type="dxa"/>
            </w:tcMar>
          </w:tcPr>
          <w:p w14:paraId="68E730CC" w14:textId="77777777" w:rsidR="007948E7" w:rsidRDefault="00000000">
            <w:r>
              <w:rPr>
                <w:sz w:val="20"/>
                <w:szCs w:val="20"/>
              </w:rPr>
              <w:t>Identifiable waste from misallocation across all 5,388 experiment runs.</w:t>
            </w:r>
          </w:p>
        </w:tc>
      </w:tr>
      <w:tr w:rsidR="007948E7" w14:paraId="06518E24" w14:textId="77777777">
        <w:tblPrEx>
          <w:tblCellMar>
            <w:top w:w="0" w:type="dxa"/>
            <w:bottom w:w="0" w:type="dxa"/>
          </w:tblCellMar>
        </w:tblPrEx>
        <w:tc>
          <w:tcPr>
            <w:tcW w:w="30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4BE9DB9E" w14:textId="77777777" w:rsidR="007948E7" w:rsidRDefault="00000000">
            <w:proofErr w:type="spellStart"/>
            <w:r>
              <w:rPr>
                <w:sz w:val="20"/>
                <w:szCs w:val="20"/>
              </w:rPr>
              <w:t>Avg</w:t>
            </w:r>
            <w:proofErr w:type="spellEnd"/>
            <w:r>
              <w:rPr>
                <w:sz w:val="20"/>
                <w:szCs w:val="20"/>
              </w:rPr>
              <w:t xml:space="preserve"> Governance Score Loss</w:t>
            </w:r>
          </w:p>
        </w:tc>
        <w:tc>
          <w:tcPr>
            <w:tcW w:w="216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659B09A6" w14:textId="77777777" w:rsidR="007948E7" w:rsidRDefault="00000000">
            <w:r>
              <w:rPr>
                <w:sz w:val="20"/>
                <w:szCs w:val="20"/>
              </w:rPr>
              <w:t>5.56</w:t>
            </w:r>
          </w:p>
        </w:tc>
        <w:tc>
          <w:tcPr>
            <w:tcW w:w="4200" w:type="dxa"/>
            <w:tcBorders>
              <w:top w:val="single" w:sz="1" w:space="0" w:color="B8C8E0"/>
              <w:left w:val="single" w:sz="1" w:space="0" w:color="B8C8E0"/>
              <w:bottom w:val="single" w:sz="1" w:space="0" w:color="B8C8E0"/>
              <w:right w:val="single" w:sz="1" w:space="0" w:color="B8C8E0"/>
            </w:tcBorders>
            <w:shd w:val="clear" w:color="auto" w:fill="EBF0F8"/>
            <w:tcMar>
              <w:top w:w="80" w:type="dxa"/>
              <w:left w:w="140" w:type="dxa"/>
              <w:bottom w:w="80" w:type="dxa"/>
              <w:right w:w="140" w:type="dxa"/>
            </w:tcMar>
          </w:tcPr>
          <w:p w14:paraId="07CE0990" w14:textId="77777777" w:rsidR="007948E7" w:rsidRDefault="00000000">
            <w:r>
              <w:rPr>
                <w:sz w:val="20"/>
                <w:szCs w:val="20"/>
              </w:rPr>
              <w:t>Average governance score reduction caused by misallocated tier assignments.</w:t>
            </w:r>
          </w:p>
        </w:tc>
      </w:tr>
    </w:tbl>
    <w:p w14:paraId="01C6B0BB" w14:textId="77777777" w:rsidR="007948E7" w:rsidRDefault="007948E7">
      <w:pPr>
        <w:spacing w:before="120"/>
      </w:pPr>
    </w:p>
    <w:p w14:paraId="3E76AB82" w14:textId="77777777" w:rsidR="007948E7" w:rsidRDefault="00000000">
      <w:pPr>
        <w:pStyle w:val="Heading1"/>
        <w:spacing w:before="340" w:after="120"/>
      </w:pPr>
      <w:r>
        <w:rPr>
          <w:b/>
          <w:bCs/>
          <w:color w:val="1B3A6B"/>
          <w:sz w:val="28"/>
          <w:szCs w:val="28"/>
        </w:rPr>
        <w:t>9. D6 — Recommendations Table Design</w:t>
      </w:r>
    </w:p>
    <w:p w14:paraId="699E6F32" w14:textId="77777777" w:rsidR="007948E7" w:rsidRDefault="00000000">
      <w:pPr>
        <w:spacing w:before="80" w:after="120" w:line="276" w:lineRule="auto"/>
        <w:jc w:val="both"/>
      </w:pPr>
      <w:r>
        <w:t xml:space="preserve">The D6 merged table is the most technically complex visual in the project. It is built in Power Query by merging two views — </w:t>
      </w:r>
      <w:proofErr w:type="spellStart"/>
      <w:r>
        <w:t>vw_provider_ranking</w:t>
      </w:r>
      <w:proofErr w:type="spellEnd"/>
      <w:r>
        <w:t xml:space="preserve"> and </w:t>
      </w:r>
      <w:proofErr w:type="spellStart"/>
      <w:r>
        <w:t>vw_cost_waste_analysis</w:t>
      </w:r>
      <w:proofErr w:type="spellEnd"/>
      <w:r>
        <w:t xml:space="preserve"> — joined on provider and </w:t>
      </w:r>
      <w:proofErr w:type="spellStart"/>
      <w:r>
        <w:t>governance_level</w:t>
      </w:r>
      <w:proofErr w:type="spellEnd"/>
      <w:r>
        <w:t xml:space="preserve"> using a Left Outer join.</w:t>
      </w:r>
    </w:p>
    <w:p w14:paraId="7E1CC141" w14:textId="77777777" w:rsidR="007948E7" w:rsidRDefault="007948E7">
      <w:pPr>
        <w:spacing w:before="80"/>
      </w:pPr>
    </w:p>
    <w:p w14:paraId="302ED0A0" w14:textId="77777777" w:rsidR="007948E7" w:rsidRDefault="00000000">
      <w:pPr>
        <w:pStyle w:val="ListParagraph"/>
        <w:numPr>
          <w:ilvl w:val="0"/>
          <w:numId w:val="2"/>
        </w:numPr>
        <w:spacing w:before="60" w:after="80" w:line="260" w:lineRule="auto"/>
      </w:pPr>
      <w:r>
        <w:rPr>
          <w:b/>
          <w:bCs/>
          <w:color w:val="1B3A6B"/>
        </w:rPr>
        <w:t>Source</w:t>
      </w:r>
      <w:r>
        <w:t xml:space="preserve"> — Power Query — Merge Queries as New. Not a DAX measure, not a SQL join — a Power Query merge to create a clean denormalized table.</w:t>
      </w:r>
    </w:p>
    <w:p w14:paraId="0F066744" w14:textId="77777777" w:rsidR="007948E7" w:rsidRDefault="00000000">
      <w:pPr>
        <w:pStyle w:val="ListParagraph"/>
        <w:numPr>
          <w:ilvl w:val="0"/>
          <w:numId w:val="2"/>
        </w:numPr>
        <w:spacing w:before="60" w:after="80" w:line="260" w:lineRule="auto"/>
      </w:pPr>
      <w:r>
        <w:rPr>
          <w:b/>
          <w:bCs/>
          <w:color w:val="1B3A6B"/>
        </w:rPr>
        <w:t>Rows</w:t>
      </w:r>
      <w:r>
        <w:t xml:space="preserve"> — 15 — exactly 5 providers x 3 workloads. Duplicates removed after merge.</w:t>
      </w:r>
    </w:p>
    <w:p w14:paraId="03B446B7" w14:textId="77777777" w:rsidR="007948E7" w:rsidRDefault="00000000">
      <w:pPr>
        <w:pStyle w:val="ListParagraph"/>
        <w:numPr>
          <w:ilvl w:val="0"/>
          <w:numId w:val="2"/>
        </w:numPr>
        <w:spacing w:before="60" w:after="80" w:line="260" w:lineRule="auto"/>
      </w:pPr>
      <w:r>
        <w:rPr>
          <w:b/>
          <w:bCs/>
          <w:color w:val="1B3A6B"/>
        </w:rPr>
        <w:t>Columns</w:t>
      </w:r>
      <w:r>
        <w:t xml:space="preserve"> — Provider, Workload, Composite Score, </w:t>
      </w:r>
      <w:proofErr w:type="spellStart"/>
      <w:r>
        <w:t>Avg</w:t>
      </w:r>
      <w:proofErr w:type="spellEnd"/>
      <w:r>
        <w:t xml:space="preserve"> Cost, Governance Score, Cost per Gov Point, </w:t>
      </w:r>
      <w:proofErr w:type="spellStart"/>
      <w:r>
        <w:t>Avg</w:t>
      </w:r>
      <w:proofErr w:type="spellEnd"/>
      <w:r>
        <w:t xml:space="preserve"> Latency, Performance Tier, Total Cost Waste, Waste Severity.</w:t>
      </w:r>
    </w:p>
    <w:p w14:paraId="360997FF" w14:textId="77777777" w:rsidR="007948E7" w:rsidRDefault="00000000">
      <w:pPr>
        <w:pStyle w:val="ListParagraph"/>
        <w:numPr>
          <w:ilvl w:val="0"/>
          <w:numId w:val="2"/>
        </w:numPr>
        <w:spacing w:before="60" w:after="80" w:line="260" w:lineRule="auto"/>
      </w:pPr>
      <w:r>
        <w:rPr>
          <w:b/>
          <w:bCs/>
          <w:color w:val="1B3A6B"/>
        </w:rPr>
        <w:t>Sort order</w:t>
      </w:r>
      <w:r>
        <w:t xml:space="preserve"> — Sorted by Composite Rank Score descending — best performing provider-workload combinations at top.</w:t>
      </w:r>
    </w:p>
    <w:p w14:paraId="2918F059" w14:textId="77777777" w:rsidR="007948E7" w:rsidRDefault="00000000">
      <w:pPr>
        <w:pStyle w:val="ListParagraph"/>
        <w:numPr>
          <w:ilvl w:val="0"/>
          <w:numId w:val="2"/>
        </w:numPr>
        <w:spacing w:before="60" w:after="80" w:line="260" w:lineRule="auto"/>
      </w:pPr>
      <w:r>
        <w:rPr>
          <w:b/>
          <w:bCs/>
          <w:color w:val="1B3A6B"/>
        </w:rPr>
        <w:t>Performance Tier</w:t>
      </w:r>
      <w:r>
        <w:t xml:space="preserve"> — Top Performer, Strong Performer, Moderate Performer — derived field from DENSE_RANK composite score in SQL view layer.</w:t>
      </w:r>
    </w:p>
    <w:p w14:paraId="3CC95096" w14:textId="77777777" w:rsidR="007948E7" w:rsidRDefault="007948E7">
      <w:pPr>
        <w:spacing w:before="100"/>
      </w:pPr>
    </w:p>
    <w:p w14:paraId="1225648F" w14:textId="77777777" w:rsidR="007948E7" w:rsidRDefault="00000000">
      <w:pPr>
        <w:spacing w:before="80" w:after="120" w:line="276" w:lineRule="auto"/>
        <w:jc w:val="both"/>
      </w:pPr>
      <w:r>
        <w:t>The table gives a Head of Data everything they need to make a provider standardization decision in one view — governance quality, cost, latency, waste, and a performance tier classification, all in a single 15-row table.</w:t>
      </w:r>
    </w:p>
    <w:p w14:paraId="3F8F822A" w14:textId="77777777" w:rsidR="007948E7" w:rsidRDefault="007948E7">
      <w:pPr>
        <w:spacing w:before="120"/>
      </w:pPr>
    </w:p>
    <w:p w14:paraId="7F815248" w14:textId="77777777" w:rsidR="007948E7" w:rsidRDefault="00000000">
      <w:pPr>
        <w:pStyle w:val="Heading1"/>
        <w:spacing w:before="340" w:after="120"/>
      </w:pPr>
      <w:r>
        <w:rPr>
          <w:b/>
          <w:bCs/>
          <w:color w:val="1B3A6B"/>
          <w:sz w:val="28"/>
          <w:szCs w:val="28"/>
        </w:rPr>
        <w:t>10. DAX Measures</w:t>
      </w:r>
    </w:p>
    <w:p w14:paraId="1F3E89DF" w14:textId="77777777" w:rsidR="007948E7" w:rsidRDefault="00000000">
      <w:pPr>
        <w:spacing w:before="80" w:after="120" w:line="276" w:lineRule="auto"/>
        <w:jc w:val="both"/>
      </w:pPr>
      <w:r>
        <w:lastRenderedPageBreak/>
        <w:t>DAX is used minimally and deliberately. Power BI is a visualization tool in this project — not a computation layer. The only DAX in the project handles display formatting, not business logic.</w:t>
      </w:r>
    </w:p>
    <w:p w14:paraId="3D3BF146" w14:textId="77777777" w:rsidR="007948E7" w:rsidRDefault="007948E7">
      <w:pPr>
        <w:spacing w:before="80"/>
      </w:pPr>
    </w:p>
    <w:p w14:paraId="3FA3EC49" w14:textId="77777777" w:rsidR="007948E7" w:rsidRDefault="00000000">
      <w:pPr>
        <w:pStyle w:val="ListParagraph"/>
        <w:numPr>
          <w:ilvl w:val="0"/>
          <w:numId w:val="2"/>
        </w:numPr>
        <w:spacing w:before="60" w:after="80" w:line="260" w:lineRule="auto"/>
      </w:pPr>
      <w:r>
        <w:rPr>
          <w:b/>
          <w:bCs/>
          <w:color w:val="1B3A6B"/>
        </w:rPr>
        <w:t>Workload Label</w:t>
      </w:r>
      <w:r>
        <w:t xml:space="preserve"> — Replaces raw </w:t>
      </w:r>
      <w:proofErr w:type="spellStart"/>
      <w:r>
        <w:t>governance_level</w:t>
      </w:r>
      <w:proofErr w:type="spellEnd"/>
      <w:r>
        <w:t xml:space="preserve"> values with clean display names — </w:t>
      </w:r>
      <w:proofErr w:type="spellStart"/>
      <w:r>
        <w:t>compliance_grade</w:t>
      </w:r>
      <w:proofErr w:type="spellEnd"/>
      <w:r>
        <w:t xml:space="preserve"> becomes Compliance Grade, exploratory becomes Exploratory.</w:t>
      </w:r>
    </w:p>
    <w:p w14:paraId="0EAC8EE7" w14:textId="77777777" w:rsidR="007948E7" w:rsidRDefault="00000000">
      <w:pPr>
        <w:pStyle w:val="ListParagraph"/>
        <w:numPr>
          <w:ilvl w:val="0"/>
          <w:numId w:val="2"/>
        </w:numPr>
        <w:spacing w:before="60" w:after="80" w:line="260" w:lineRule="auto"/>
      </w:pPr>
      <w:r>
        <w:rPr>
          <w:b/>
          <w:bCs/>
          <w:color w:val="1B3A6B"/>
        </w:rPr>
        <w:t>Dynamic titles</w:t>
      </w:r>
      <w:r>
        <w:t xml:space="preserve"> — Dashboard titles reference slicer selections where applicable — title updates when a filter is applied.</w:t>
      </w:r>
    </w:p>
    <w:p w14:paraId="0CF2FA5B" w14:textId="77777777" w:rsidR="007948E7" w:rsidRDefault="00000000">
      <w:pPr>
        <w:pStyle w:val="ListParagraph"/>
        <w:numPr>
          <w:ilvl w:val="0"/>
          <w:numId w:val="2"/>
        </w:numPr>
        <w:spacing w:before="60" w:after="80" w:line="260" w:lineRule="auto"/>
      </w:pPr>
      <w:r>
        <w:rPr>
          <w:b/>
          <w:bCs/>
          <w:color w:val="1B3A6B"/>
        </w:rPr>
        <w:t>No business logic in DAX</w:t>
      </w:r>
      <w:r>
        <w:t xml:space="preserve"> — All KPI calculations, scoring, ranking, and cost formulas live in SQL views. DAX does not recompute anything that SQL already computed.</w:t>
      </w:r>
    </w:p>
    <w:p w14:paraId="607B1EA4" w14:textId="77777777" w:rsidR="007948E7" w:rsidRDefault="007948E7">
      <w:pPr>
        <w:spacing w:before="100"/>
      </w:pPr>
    </w:p>
    <w:p w14:paraId="6E537283" w14:textId="77777777" w:rsidR="007948E7" w:rsidRDefault="00000000">
      <w:pPr>
        <w:pBdr>
          <w:left w:val="single" w:sz="18" w:space="6" w:color="1B3A6B"/>
        </w:pBdr>
        <w:spacing w:before="140" w:after="140"/>
        <w:ind w:left="360"/>
      </w:pPr>
      <w:r>
        <w:rPr>
          <w:b/>
          <w:bCs/>
          <w:i/>
          <w:iCs/>
          <w:color w:val="1B3A6B"/>
        </w:rPr>
        <w:t>DAX formats. SQL computes. The boundary is enforced throughout.</w:t>
      </w:r>
    </w:p>
    <w:sectPr w:rsidR="007948E7">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50B8E" w14:textId="77777777" w:rsidR="008D169A" w:rsidRDefault="008D169A">
      <w:r>
        <w:separator/>
      </w:r>
    </w:p>
  </w:endnote>
  <w:endnote w:type="continuationSeparator" w:id="0">
    <w:p w14:paraId="7195C524" w14:textId="77777777" w:rsidR="008D169A" w:rsidRDefault="008D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B373" w14:textId="76234252" w:rsidR="007948E7" w:rsidRDefault="00000000">
    <w:pPr>
      <w:pBdr>
        <w:top w:val="single" w:sz="4" w:space="1" w:color="1B3A6B"/>
      </w:pBdr>
      <w:spacing w:before="120"/>
      <w:jc w:val="center"/>
    </w:pPr>
    <w:r>
      <w:rPr>
        <w:color w:val="888888"/>
        <w:sz w:val="16"/>
        <w:szCs w:val="16"/>
      </w:rPr>
      <w:t xml:space="preserve">Portfolio </w:t>
    </w:r>
    <w:proofErr w:type="gramStart"/>
    <w:r>
      <w:rPr>
        <w:color w:val="888888"/>
        <w:sz w:val="16"/>
        <w:szCs w:val="16"/>
      </w:rPr>
      <w:t>Project  —</w:t>
    </w:r>
    <w:proofErr w:type="gramEnd"/>
    <w:r>
      <w:rPr>
        <w:color w:val="888888"/>
        <w:sz w:val="16"/>
        <w:szCs w:val="16"/>
      </w:rPr>
      <w:t xml:space="preserve">  Analytics Engineering &amp; Data Analysis    |    </w:t>
    </w:r>
    <w:r>
      <w:fldChar w:fldCharType="begin"/>
    </w:r>
    <w:r>
      <w:instrText>PAGE</w:instrText>
    </w:r>
    <w:r>
      <w:fldChar w:fldCharType="separate"/>
    </w:r>
    <w:r w:rsidR="009028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24A0" w14:textId="77777777" w:rsidR="008D169A" w:rsidRDefault="008D169A">
      <w:r>
        <w:separator/>
      </w:r>
    </w:p>
  </w:footnote>
  <w:footnote w:type="continuationSeparator" w:id="0">
    <w:p w14:paraId="33824924" w14:textId="77777777" w:rsidR="008D169A" w:rsidRDefault="008D1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9245" w14:textId="77777777" w:rsidR="007948E7" w:rsidRDefault="00000000">
    <w:pPr>
      <w:pBdr>
        <w:bottom w:val="single" w:sz="4" w:space="1" w:color="1B3A6B"/>
      </w:pBdr>
      <w:spacing w:after="120"/>
      <w:jc w:val="right"/>
    </w:pPr>
    <w:r>
      <w:rPr>
        <w:i/>
        <w:iCs/>
        <w:color w:val="2E5FA3"/>
        <w:sz w:val="18"/>
        <w:szCs w:val="18"/>
      </w:rPr>
      <w:t>LLM Governance &amp; Cost Benchmarking Framework</w:t>
    </w:r>
    <w:r>
      <w:rPr>
        <w:color w:val="888888"/>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4540"/>
    <w:multiLevelType w:val="hybridMultilevel"/>
    <w:tmpl w:val="EDEE6C98"/>
    <w:lvl w:ilvl="0" w:tplc="60868E9E">
      <w:start w:val="1"/>
      <w:numFmt w:val="bullet"/>
      <w:lvlText w:val="•"/>
      <w:lvlJc w:val="left"/>
      <w:pPr>
        <w:ind w:left="720" w:hanging="360"/>
      </w:pPr>
    </w:lvl>
    <w:lvl w:ilvl="1" w:tplc="DEF29024">
      <w:numFmt w:val="decimal"/>
      <w:lvlText w:val=""/>
      <w:lvlJc w:val="left"/>
    </w:lvl>
    <w:lvl w:ilvl="2" w:tplc="27E29676">
      <w:numFmt w:val="decimal"/>
      <w:lvlText w:val=""/>
      <w:lvlJc w:val="left"/>
    </w:lvl>
    <w:lvl w:ilvl="3" w:tplc="BC709DE8">
      <w:numFmt w:val="decimal"/>
      <w:lvlText w:val=""/>
      <w:lvlJc w:val="left"/>
    </w:lvl>
    <w:lvl w:ilvl="4" w:tplc="48044A62">
      <w:numFmt w:val="decimal"/>
      <w:lvlText w:val=""/>
      <w:lvlJc w:val="left"/>
    </w:lvl>
    <w:lvl w:ilvl="5" w:tplc="0B449CB4">
      <w:numFmt w:val="decimal"/>
      <w:lvlText w:val=""/>
      <w:lvlJc w:val="left"/>
    </w:lvl>
    <w:lvl w:ilvl="6" w:tplc="12C2E00A">
      <w:numFmt w:val="decimal"/>
      <w:lvlText w:val=""/>
      <w:lvlJc w:val="left"/>
    </w:lvl>
    <w:lvl w:ilvl="7" w:tplc="6B96D5E8">
      <w:numFmt w:val="decimal"/>
      <w:lvlText w:val=""/>
      <w:lvlJc w:val="left"/>
    </w:lvl>
    <w:lvl w:ilvl="8" w:tplc="C08E944C">
      <w:numFmt w:val="decimal"/>
      <w:lvlText w:val=""/>
      <w:lvlJc w:val="left"/>
    </w:lvl>
  </w:abstractNum>
  <w:abstractNum w:abstractNumId="1" w15:restartNumberingAfterBreak="0">
    <w:nsid w:val="712D20D0"/>
    <w:multiLevelType w:val="hybridMultilevel"/>
    <w:tmpl w:val="B770D0BE"/>
    <w:lvl w:ilvl="0" w:tplc="88D03CEA">
      <w:start w:val="1"/>
      <w:numFmt w:val="bullet"/>
      <w:lvlText w:val="●"/>
      <w:lvlJc w:val="left"/>
      <w:pPr>
        <w:ind w:left="720" w:hanging="360"/>
      </w:pPr>
    </w:lvl>
    <w:lvl w:ilvl="1" w:tplc="344812F4">
      <w:start w:val="1"/>
      <w:numFmt w:val="bullet"/>
      <w:lvlText w:val="○"/>
      <w:lvlJc w:val="left"/>
      <w:pPr>
        <w:ind w:left="1440" w:hanging="360"/>
      </w:pPr>
    </w:lvl>
    <w:lvl w:ilvl="2" w:tplc="8938CE2A">
      <w:start w:val="1"/>
      <w:numFmt w:val="bullet"/>
      <w:lvlText w:val="■"/>
      <w:lvlJc w:val="left"/>
      <w:pPr>
        <w:ind w:left="2160" w:hanging="360"/>
      </w:pPr>
    </w:lvl>
    <w:lvl w:ilvl="3" w:tplc="C2E8E870">
      <w:start w:val="1"/>
      <w:numFmt w:val="bullet"/>
      <w:lvlText w:val="●"/>
      <w:lvlJc w:val="left"/>
      <w:pPr>
        <w:ind w:left="2880" w:hanging="360"/>
      </w:pPr>
    </w:lvl>
    <w:lvl w:ilvl="4" w:tplc="A2E474E4">
      <w:start w:val="1"/>
      <w:numFmt w:val="bullet"/>
      <w:lvlText w:val="○"/>
      <w:lvlJc w:val="left"/>
      <w:pPr>
        <w:ind w:left="3600" w:hanging="360"/>
      </w:pPr>
    </w:lvl>
    <w:lvl w:ilvl="5" w:tplc="AF2814A0">
      <w:start w:val="1"/>
      <w:numFmt w:val="bullet"/>
      <w:lvlText w:val="■"/>
      <w:lvlJc w:val="left"/>
      <w:pPr>
        <w:ind w:left="4320" w:hanging="360"/>
      </w:pPr>
    </w:lvl>
    <w:lvl w:ilvl="6" w:tplc="C106A89E">
      <w:start w:val="1"/>
      <w:numFmt w:val="bullet"/>
      <w:lvlText w:val="●"/>
      <w:lvlJc w:val="left"/>
      <w:pPr>
        <w:ind w:left="5040" w:hanging="360"/>
      </w:pPr>
    </w:lvl>
    <w:lvl w:ilvl="7" w:tplc="5AAE4462">
      <w:start w:val="1"/>
      <w:numFmt w:val="bullet"/>
      <w:lvlText w:val="●"/>
      <w:lvlJc w:val="left"/>
      <w:pPr>
        <w:ind w:left="5760" w:hanging="360"/>
      </w:pPr>
    </w:lvl>
    <w:lvl w:ilvl="8" w:tplc="E2F0B8EA">
      <w:start w:val="1"/>
      <w:numFmt w:val="bullet"/>
      <w:lvlText w:val="●"/>
      <w:lvlJc w:val="left"/>
      <w:pPr>
        <w:ind w:left="6480" w:hanging="360"/>
      </w:pPr>
    </w:lvl>
  </w:abstractNum>
  <w:num w:numId="1" w16cid:durableId="1998804133">
    <w:abstractNumId w:val="1"/>
    <w:lvlOverride w:ilvl="0">
      <w:startOverride w:val="1"/>
    </w:lvlOverride>
  </w:num>
  <w:num w:numId="2" w16cid:durableId="2105764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8E7"/>
    <w:rsid w:val="007948E7"/>
    <w:rsid w:val="008D169A"/>
    <w:rsid w:val="0090281D"/>
    <w:rsid w:val="00D75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B98B"/>
  <w15:docId w15:val="{1B7A68D8-B0D4-4DDB-9B14-56AD7034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0281D"/>
    <w:pPr>
      <w:tabs>
        <w:tab w:val="center" w:pos="4513"/>
        <w:tab w:val="right" w:pos="9026"/>
      </w:tabs>
    </w:pPr>
  </w:style>
  <w:style w:type="character" w:customStyle="1" w:styleId="HeaderChar">
    <w:name w:val="Header Char"/>
    <w:basedOn w:val="DefaultParagraphFont"/>
    <w:link w:val="Header"/>
    <w:uiPriority w:val="99"/>
    <w:rsid w:val="0090281D"/>
  </w:style>
  <w:style w:type="paragraph" w:styleId="Footer">
    <w:name w:val="footer"/>
    <w:basedOn w:val="Normal"/>
    <w:link w:val="FooterChar"/>
    <w:uiPriority w:val="99"/>
    <w:unhideWhenUsed/>
    <w:rsid w:val="0090281D"/>
    <w:pPr>
      <w:tabs>
        <w:tab w:val="center" w:pos="4513"/>
        <w:tab w:val="right" w:pos="9026"/>
      </w:tabs>
    </w:pPr>
  </w:style>
  <w:style w:type="character" w:customStyle="1" w:styleId="FooterChar">
    <w:name w:val="Footer Char"/>
    <w:basedOn w:val="DefaultParagraphFont"/>
    <w:link w:val="Footer"/>
    <w:uiPriority w:val="99"/>
    <w:rsid w:val="00902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1551</Words>
  <Characters>8846</Characters>
  <Application>Microsoft Office Word</Application>
  <DocSecurity>0</DocSecurity>
  <Lines>73</Lines>
  <Paragraphs>20</Paragraphs>
  <ScaleCrop>false</ScaleCrop>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Shinde</cp:lastModifiedBy>
  <cp:revision>2</cp:revision>
  <dcterms:created xsi:type="dcterms:W3CDTF">2026-03-18T09:24:00Z</dcterms:created>
  <dcterms:modified xsi:type="dcterms:W3CDTF">2026-03-18T09:47:00Z</dcterms:modified>
</cp:coreProperties>
</file>