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83891" w14:textId="77777777" w:rsidR="006E1E6B" w:rsidRDefault="00000000">
      <w:pPr>
        <w:spacing w:before="240" w:after="40"/>
      </w:pPr>
      <w:r>
        <w:rPr>
          <w:color w:val="0F2444"/>
          <w:sz w:val="48"/>
          <w:szCs w:val="48"/>
        </w:rPr>
        <w:t>LLM Governance &amp; Cost Benchmarking Framework</w:t>
      </w:r>
    </w:p>
    <w:p w14:paraId="119ED9F0" w14:textId="77777777" w:rsidR="006E1E6B" w:rsidRDefault="00000000">
      <w:pPr>
        <w:spacing w:after="60"/>
      </w:pPr>
      <w:r>
        <w:rPr>
          <w:i/>
          <w:iCs/>
          <w:color w:val="2E5FA3"/>
          <w:sz w:val="24"/>
          <w:szCs w:val="24"/>
        </w:rPr>
        <w:t>Insights Interpretation</w:t>
      </w:r>
    </w:p>
    <w:p w14:paraId="161B75B3" w14:textId="77777777" w:rsidR="006E1E6B" w:rsidRDefault="006E1E6B">
      <w:pPr>
        <w:pBdr>
          <w:bottom w:val="single" w:sz="6" w:space="1" w:color="1B3A6B"/>
        </w:pBdr>
        <w:spacing w:after="180"/>
      </w:pPr>
    </w:p>
    <w:p w14:paraId="367F1FA2" w14:textId="77777777" w:rsidR="006E1E6B" w:rsidRDefault="00000000">
      <w:pPr>
        <w:pStyle w:val="Heading1"/>
        <w:spacing w:before="340" w:after="120"/>
      </w:pPr>
      <w:r>
        <w:rPr>
          <w:b/>
          <w:bCs/>
          <w:color w:val="1B3A6B"/>
          <w:sz w:val="28"/>
          <w:szCs w:val="28"/>
        </w:rPr>
        <w:t>1. How to Read This Document</w:t>
      </w:r>
    </w:p>
    <w:p w14:paraId="45ED47E4" w14:textId="77777777" w:rsidR="006E1E6B" w:rsidRDefault="00000000">
      <w:pPr>
        <w:spacing w:before="80" w:after="120" w:line="276" w:lineRule="auto"/>
        <w:jc w:val="both"/>
      </w:pPr>
      <w:r>
        <w:t>This document translates data into decisions. Every insight in this project points to an action a Head of Data, CTO, or compliance team lead can take. The structure mirrors how a senior stakeholder thinks — start with the five decisions, then go deeper into each dashboard for the evidence.</w:t>
      </w:r>
    </w:p>
    <w:p w14:paraId="3AEBDEF4" w14:textId="77777777" w:rsidR="006E1E6B" w:rsidRDefault="006E1E6B">
      <w:pPr>
        <w:spacing w:before="80"/>
      </w:pPr>
    </w:p>
    <w:p w14:paraId="05D50A6A" w14:textId="77777777" w:rsidR="006E1E6B" w:rsidRDefault="00000000">
      <w:pPr>
        <w:pBdr>
          <w:left w:val="single" w:sz="18" w:space="6" w:color="1B3A6B"/>
        </w:pBdr>
        <w:spacing w:before="140" w:after="140"/>
        <w:ind w:left="360"/>
      </w:pPr>
      <w:r>
        <w:rPr>
          <w:b/>
          <w:bCs/>
          <w:i/>
          <w:iCs/>
          <w:color w:val="1B3A6B"/>
        </w:rPr>
        <w:t>Insights without decisions are just observations. Every finding here leads to an action.</w:t>
      </w:r>
    </w:p>
    <w:p w14:paraId="58FD3AD4" w14:textId="77777777" w:rsidR="006E1E6B" w:rsidRDefault="006E1E6B">
      <w:pPr>
        <w:spacing w:before="120"/>
      </w:pPr>
    </w:p>
    <w:p w14:paraId="05C6CB4F" w14:textId="77777777" w:rsidR="006E1E6B" w:rsidRDefault="00000000">
      <w:pPr>
        <w:pStyle w:val="Heading1"/>
        <w:spacing w:before="340" w:after="120"/>
      </w:pPr>
      <w:r>
        <w:rPr>
          <w:b/>
          <w:bCs/>
          <w:color w:val="1B3A6B"/>
          <w:sz w:val="28"/>
          <w:szCs w:val="28"/>
        </w:rPr>
        <w:t>2. Executive Summary — Five Business Decisions</w:t>
      </w:r>
    </w:p>
    <w:p w14:paraId="36724594" w14:textId="77777777" w:rsidR="006E1E6B" w:rsidRDefault="00000000">
      <w:pPr>
        <w:spacing w:before="80" w:after="120" w:line="276" w:lineRule="auto"/>
        <w:jc w:val="both"/>
      </w:pPr>
      <w:r>
        <w:t>These are the five decisions this project was built to answer. Each one is supported by specific data from the governance framework. A stakeholder reading only this section has everything they need to act.</w:t>
      </w:r>
    </w:p>
    <w:p w14:paraId="58E41B3A" w14:textId="77777777" w:rsidR="006E1E6B" w:rsidRDefault="006E1E6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160"/>
        <w:gridCol w:w="4000"/>
      </w:tblGrid>
      <w:tr w:rsidR="006E1E6B" w14:paraId="4950343B" w14:textId="77777777">
        <w:tblPrEx>
          <w:tblCellMar>
            <w:top w:w="0" w:type="dxa"/>
            <w:bottom w:w="0" w:type="dxa"/>
          </w:tblCellMar>
        </w:tblPrEx>
        <w:tc>
          <w:tcPr>
            <w:tcW w:w="32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41F55F74" w14:textId="77777777" w:rsidR="006E1E6B" w:rsidRDefault="00000000">
            <w:r>
              <w:rPr>
                <w:b/>
                <w:bCs/>
                <w:color w:val="FFFFFF"/>
                <w:sz w:val="20"/>
                <w:szCs w:val="20"/>
              </w:rPr>
              <w:t>Business Decision</w:t>
            </w:r>
          </w:p>
        </w:tc>
        <w:tc>
          <w:tcPr>
            <w:tcW w:w="21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7D5BC7BE" w14:textId="77777777" w:rsidR="006E1E6B" w:rsidRDefault="00000000">
            <w:r>
              <w:rPr>
                <w:b/>
                <w:bCs/>
                <w:color w:val="FFFFFF"/>
                <w:sz w:val="20"/>
                <w:szCs w:val="20"/>
              </w:rPr>
              <w:t>Answer</w:t>
            </w:r>
          </w:p>
        </w:tc>
        <w:tc>
          <w:tcPr>
            <w:tcW w:w="40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450AC5B9" w14:textId="77777777" w:rsidR="006E1E6B" w:rsidRDefault="00000000">
            <w:r>
              <w:rPr>
                <w:b/>
                <w:bCs/>
                <w:color w:val="FFFFFF"/>
                <w:sz w:val="20"/>
                <w:szCs w:val="20"/>
              </w:rPr>
              <w:t>Evidence</w:t>
            </w:r>
          </w:p>
        </w:tc>
      </w:tr>
      <w:tr w:rsidR="006E1E6B" w14:paraId="78784832" w14:textId="77777777">
        <w:tblPrEx>
          <w:tblCellMar>
            <w:top w:w="0" w:type="dxa"/>
            <w:bottom w:w="0" w:type="dxa"/>
          </w:tblCellMar>
        </w:tblPrEx>
        <w:tc>
          <w:tcPr>
            <w:tcW w:w="32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24F09619" w14:textId="77777777" w:rsidR="006E1E6B" w:rsidRDefault="00000000">
            <w:r>
              <w:rPr>
                <w:sz w:val="20"/>
                <w:szCs w:val="20"/>
              </w:rPr>
              <w:t>Which provider for compliance reporting?</w:t>
            </w:r>
          </w:p>
        </w:tc>
        <w:tc>
          <w:tcPr>
            <w:tcW w:w="21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3CBB0EAE" w14:textId="77777777" w:rsidR="006E1E6B" w:rsidRDefault="00000000">
            <w:r>
              <w:rPr>
                <w:sz w:val="20"/>
                <w:szCs w:val="20"/>
              </w:rPr>
              <w:t>Cohere or Anthropic</w:t>
            </w:r>
          </w:p>
        </w:tc>
        <w:tc>
          <w:tcPr>
            <w:tcW w:w="40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6F2EFBA1" w14:textId="77777777" w:rsidR="006E1E6B" w:rsidRDefault="00000000">
            <w:r>
              <w:rPr>
                <w:sz w:val="20"/>
                <w:szCs w:val="20"/>
              </w:rPr>
              <w:t>Cohere: hallucination 7.3, governance 93.62. Anthropic: hallucination 12.6, governance 84.92.</w:t>
            </w:r>
          </w:p>
        </w:tc>
      </w:tr>
      <w:tr w:rsidR="006E1E6B" w14:paraId="23FC2E66" w14:textId="77777777">
        <w:tblPrEx>
          <w:tblCellMar>
            <w:top w:w="0" w:type="dxa"/>
            <w:bottom w:w="0" w:type="dxa"/>
          </w:tblCellMar>
        </w:tblPrEx>
        <w:tc>
          <w:tcPr>
            <w:tcW w:w="32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397697FB" w14:textId="77777777" w:rsidR="006E1E6B" w:rsidRDefault="00000000">
            <w:r>
              <w:rPr>
                <w:sz w:val="20"/>
                <w:szCs w:val="20"/>
              </w:rPr>
              <w:t>Where is the biggest cost problem?</w:t>
            </w:r>
          </w:p>
        </w:tc>
        <w:tc>
          <w:tcPr>
            <w:tcW w:w="21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15B14EBB" w14:textId="77777777" w:rsidR="006E1E6B" w:rsidRDefault="00000000">
            <w:r>
              <w:rPr>
                <w:sz w:val="20"/>
                <w:szCs w:val="20"/>
              </w:rPr>
              <w:t>Misallocation — not vendor</w:t>
            </w:r>
          </w:p>
        </w:tc>
        <w:tc>
          <w:tcPr>
            <w:tcW w:w="40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4E26078B" w14:textId="77777777" w:rsidR="006E1E6B" w:rsidRDefault="00000000">
            <w:r>
              <w:rPr>
                <w:sz w:val="20"/>
                <w:szCs w:val="20"/>
              </w:rPr>
              <w:t>50% misallocation rate generates $2.67 waste. Fix tier policy before switching providers.</w:t>
            </w:r>
          </w:p>
        </w:tc>
      </w:tr>
      <w:tr w:rsidR="006E1E6B" w14:paraId="1A55E40A" w14:textId="77777777">
        <w:tblPrEx>
          <w:tblCellMar>
            <w:top w:w="0" w:type="dxa"/>
            <w:bottom w:w="0" w:type="dxa"/>
          </w:tblCellMar>
        </w:tblPrEx>
        <w:tc>
          <w:tcPr>
            <w:tcW w:w="32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1C8CBCCC" w14:textId="77777777" w:rsidR="006E1E6B" w:rsidRDefault="00000000">
            <w:r>
              <w:rPr>
                <w:sz w:val="20"/>
                <w:szCs w:val="20"/>
              </w:rPr>
              <w:t>Is compliance spend justified?</w:t>
            </w:r>
          </w:p>
        </w:tc>
        <w:tc>
          <w:tcPr>
            <w:tcW w:w="21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5E33AB5C" w14:textId="77777777" w:rsidR="006E1E6B" w:rsidRDefault="00000000">
            <w:r>
              <w:rPr>
                <w:sz w:val="20"/>
                <w:szCs w:val="20"/>
              </w:rPr>
              <w:t>Yes — if tier is correct</w:t>
            </w:r>
          </w:p>
        </w:tc>
        <w:tc>
          <w:tcPr>
            <w:tcW w:w="40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7F41CCAC" w14:textId="77777777" w:rsidR="006E1E6B" w:rsidRDefault="00000000">
            <w:r>
              <w:rPr>
                <w:sz w:val="20"/>
                <w:szCs w:val="20"/>
              </w:rPr>
              <w:t>Enterprise tier scores 94.03 governance — justifies cost premium. Problem is misallocation, not pricing.</w:t>
            </w:r>
          </w:p>
        </w:tc>
      </w:tr>
      <w:tr w:rsidR="006E1E6B" w14:paraId="5742A53B" w14:textId="77777777">
        <w:tblPrEx>
          <w:tblCellMar>
            <w:top w:w="0" w:type="dxa"/>
            <w:bottom w:w="0" w:type="dxa"/>
          </w:tblCellMar>
        </w:tblPrEx>
        <w:tc>
          <w:tcPr>
            <w:tcW w:w="32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6C1A095B" w14:textId="77777777" w:rsidR="006E1E6B" w:rsidRDefault="00000000">
            <w:r>
              <w:rPr>
                <w:sz w:val="20"/>
                <w:szCs w:val="20"/>
              </w:rPr>
              <w:t>Which provider is best overall value?</w:t>
            </w:r>
          </w:p>
        </w:tc>
        <w:tc>
          <w:tcPr>
            <w:tcW w:w="21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3DE5CAF7" w14:textId="77777777" w:rsidR="006E1E6B" w:rsidRDefault="00000000">
            <w:r>
              <w:rPr>
                <w:sz w:val="20"/>
                <w:szCs w:val="20"/>
              </w:rPr>
              <w:t>OpenAI</w:t>
            </w:r>
          </w:p>
        </w:tc>
        <w:tc>
          <w:tcPr>
            <w:tcW w:w="40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33A83694" w14:textId="77777777" w:rsidR="006E1E6B" w:rsidRDefault="00000000">
            <w:r>
              <w:rPr>
                <w:sz w:val="20"/>
                <w:szCs w:val="20"/>
              </w:rPr>
              <w:t>Consistent governance across all 3 workloads. Mid-range cost. 771ms latency.</w:t>
            </w:r>
          </w:p>
        </w:tc>
      </w:tr>
      <w:tr w:rsidR="006E1E6B" w14:paraId="161AAA79" w14:textId="77777777">
        <w:tblPrEx>
          <w:tblCellMar>
            <w:top w:w="0" w:type="dxa"/>
            <w:bottom w:w="0" w:type="dxa"/>
          </w:tblCellMar>
        </w:tblPrEx>
        <w:tc>
          <w:tcPr>
            <w:tcW w:w="32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32C99DA1" w14:textId="77777777" w:rsidR="006E1E6B" w:rsidRDefault="00000000">
            <w:r>
              <w:rPr>
                <w:sz w:val="20"/>
                <w:szCs w:val="20"/>
              </w:rPr>
              <w:t>What is our single biggest operational risk?</w:t>
            </w:r>
          </w:p>
        </w:tc>
        <w:tc>
          <w:tcPr>
            <w:tcW w:w="21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7BB0F11E" w14:textId="77777777" w:rsidR="006E1E6B" w:rsidRDefault="00000000">
            <w:r>
              <w:rPr>
                <w:sz w:val="20"/>
                <w:szCs w:val="20"/>
              </w:rPr>
              <w:t>Mistral on compliance</w:t>
            </w:r>
          </w:p>
        </w:tc>
        <w:tc>
          <w:tcPr>
            <w:tcW w:w="40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4E1EFE9D" w14:textId="77777777" w:rsidR="006E1E6B" w:rsidRDefault="00000000">
            <w:r>
              <w:rPr>
                <w:sz w:val="20"/>
                <w:szCs w:val="20"/>
              </w:rPr>
              <w:t xml:space="preserve">Hallucination 18.9 — highest in portfolio. Must be blocked from </w:t>
            </w:r>
            <w:proofErr w:type="spellStart"/>
            <w:r>
              <w:rPr>
                <w:sz w:val="20"/>
                <w:szCs w:val="20"/>
              </w:rPr>
              <w:t>compliance_grade</w:t>
            </w:r>
            <w:proofErr w:type="spellEnd"/>
            <w:r>
              <w:rPr>
                <w:sz w:val="20"/>
                <w:szCs w:val="20"/>
              </w:rPr>
              <w:t xml:space="preserve"> immediately.</w:t>
            </w:r>
          </w:p>
        </w:tc>
      </w:tr>
    </w:tbl>
    <w:p w14:paraId="180AAAD8" w14:textId="77777777" w:rsidR="006E1E6B" w:rsidRDefault="006E1E6B">
      <w:pPr>
        <w:spacing w:before="120"/>
      </w:pPr>
    </w:p>
    <w:p w14:paraId="6C48CD80" w14:textId="77777777" w:rsidR="006E1E6B" w:rsidRDefault="00000000">
      <w:pPr>
        <w:pStyle w:val="Heading1"/>
        <w:spacing w:before="340" w:after="120"/>
      </w:pPr>
      <w:r>
        <w:rPr>
          <w:b/>
          <w:bCs/>
          <w:color w:val="1B3A6B"/>
          <w:sz w:val="28"/>
          <w:szCs w:val="28"/>
        </w:rPr>
        <w:t>3. The Headline Finding</w:t>
      </w:r>
    </w:p>
    <w:p w14:paraId="400087B5" w14:textId="77777777" w:rsidR="006E1E6B" w:rsidRDefault="00000000">
      <w:pPr>
        <w:spacing w:before="80" w:after="120" w:line="276" w:lineRule="auto"/>
        <w:jc w:val="both"/>
      </w:pPr>
      <w:r>
        <w:t>The most important finding in this entire project is not which provider scores highest. It is this:</w:t>
      </w:r>
    </w:p>
    <w:p w14:paraId="6F630D48" w14:textId="77777777" w:rsidR="006E1E6B" w:rsidRDefault="006E1E6B">
      <w:pPr>
        <w:spacing w:before="80"/>
      </w:pPr>
    </w:p>
    <w:p w14:paraId="46017DE4" w14:textId="77777777" w:rsidR="006E1E6B" w:rsidRDefault="00000000">
      <w:pPr>
        <w:pBdr>
          <w:left w:val="single" w:sz="18" w:space="6" w:color="1B3A6B"/>
        </w:pBdr>
        <w:spacing w:before="140" w:after="140"/>
        <w:ind w:left="360"/>
      </w:pPr>
      <w:r>
        <w:rPr>
          <w:b/>
          <w:bCs/>
          <w:i/>
          <w:iCs/>
          <w:color w:val="1B3A6B"/>
        </w:rPr>
        <w:t>The biggest cost and quality problem is not the vendor. It is the allocation policy. Fix misallocation first — before switching providers.</w:t>
      </w:r>
    </w:p>
    <w:p w14:paraId="42475BAF" w14:textId="77777777" w:rsidR="006E1E6B" w:rsidRDefault="006E1E6B">
      <w:pPr>
        <w:spacing w:before="100"/>
      </w:pPr>
    </w:p>
    <w:p w14:paraId="469529D5" w14:textId="77777777" w:rsidR="006E1E6B" w:rsidRDefault="00000000">
      <w:pPr>
        <w:spacing w:before="80" w:after="120" w:line="276" w:lineRule="auto"/>
        <w:jc w:val="both"/>
      </w:pPr>
      <w:r>
        <w:t>50% of all runs are on the wrong model tier. That misallocation generates $2.67 in identifiable cost waste and an average governance score loss of 5.56 points per misallocated run. Both problems disappear if tier assignment governance is enforced. No vendor change required. No pricing renegotiation. Just a policy enforcement that costs nothing to implement.</w:t>
      </w:r>
    </w:p>
    <w:p w14:paraId="6372A160" w14:textId="77777777" w:rsidR="006E1E6B" w:rsidRDefault="006E1E6B">
      <w:pPr>
        <w:spacing w:before="100"/>
      </w:pPr>
    </w:p>
    <w:p w14:paraId="3FA5C747" w14:textId="77777777" w:rsidR="006E1E6B" w:rsidRDefault="00000000">
      <w:pPr>
        <w:spacing w:before="80" w:after="120" w:line="276" w:lineRule="auto"/>
        <w:jc w:val="both"/>
      </w:pPr>
      <w:r>
        <w:t>This reframes the entire problem. Most organizations looking at LLM spend think they have a vendor selection problem. This data shows they have a governance process problem. That is the headline finding — and it is the insight a Head of Data needs to hear.</w:t>
      </w:r>
    </w:p>
    <w:p w14:paraId="55DABBBE" w14:textId="77777777" w:rsidR="006E1E6B" w:rsidRDefault="006E1E6B">
      <w:pPr>
        <w:spacing w:before="120"/>
      </w:pPr>
    </w:p>
    <w:p w14:paraId="436156C4" w14:textId="77777777" w:rsidR="006E1E6B" w:rsidRDefault="00000000">
      <w:pPr>
        <w:pStyle w:val="Heading1"/>
        <w:spacing w:before="340" w:after="120"/>
      </w:pPr>
      <w:r>
        <w:rPr>
          <w:b/>
          <w:bCs/>
          <w:color w:val="1B3A6B"/>
          <w:sz w:val="28"/>
          <w:szCs w:val="28"/>
        </w:rPr>
        <w:t>4. Dashboard Insights — D1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6E1E6B" w14:paraId="5FDA957D" w14:textId="77777777">
        <w:tblPrEx>
          <w:tblCellMar>
            <w:top w:w="0" w:type="dxa"/>
            <w:bottom w:w="0" w:type="dxa"/>
          </w:tblCellMar>
        </w:tblPrEx>
        <w:tc>
          <w:tcPr>
            <w:tcW w:w="34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084A88E1" w14:textId="77777777" w:rsidR="006E1E6B" w:rsidRDefault="00000000">
            <w:r>
              <w:rPr>
                <w:b/>
                <w:bCs/>
                <w:color w:val="FFFFFF"/>
                <w:sz w:val="20"/>
                <w:szCs w:val="20"/>
              </w:rPr>
              <w:t>Finding</w:t>
            </w:r>
          </w:p>
        </w:tc>
        <w:tc>
          <w:tcPr>
            <w:tcW w:w="59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2E71D3E4" w14:textId="77777777" w:rsidR="006E1E6B" w:rsidRDefault="00000000">
            <w:r>
              <w:rPr>
                <w:b/>
                <w:bCs/>
                <w:color w:val="FFFFFF"/>
                <w:sz w:val="20"/>
                <w:szCs w:val="20"/>
              </w:rPr>
              <w:t>What It Means</w:t>
            </w:r>
          </w:p>
        </w:tc>
      </w:tr>
      <w:tr w:rsidR="006E1E6B" w14:paraId="3D4471EC" w14:textId="77777777">
        <w:tblPrEx>
          <w:tblCellMar>
            <w:top w:w="0" w:type="dxa"/>
            <w:bottom w:w="0" w:type="dxa"/>
          </w:tblCellMar>
        </w:tblPrEx>
        <w:tc>
          <w:tcPr>
            <w:tcW w:w="3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5FA5B712" w14:textId="77777777" w:rsidR="006E1E6B" w:rsidRDefault="00000000">
            <w:r>
              <w:rPr>
                <w:sz w:val="20"/>
                <w:szCs w:val="20"/>
              </w:rPr>
              <w:t>Total spend: $31.77 across 5,388 runs</w:t>
            </w:r>
          </w:p>
        </w:tc>
        <w:tc>
          <w:tcPr>
            <w:tcW w:w="5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736D257F" w14:textId="77777777" w:rsidR="006E1E6B" w:rsidRDefault="00000000">
            <w:r>
              <w:rPr>
                <w:sz w:val="20"/>
                <w:szCs w:val="20"/>
              </w:rPr>
              <w:t>Average cost per run is $0.0059. Extremely low — validates that LLM automation is cost-effective at this scale.</w:t>
            </w:r>
          </w:p>
        </w:tc>
      </w:tr>
      <w:tr w:rsidR="006E1E6B" w14:paraId="57818E39" w14:textId="77777777">
        <w:tblPrEx>
          <w:tblCellMar>
            <w:top w:w="0" w:type="dxa"/>
            <w:bottom w:w="0" w:type="dxa"/>
          </w:tblCellMar>
        </w:tblPrEx>
        <w:tc>
          <w:tcPr>
            <w:tcW w:w="3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05D33D16" w14:textId="77777777" w:rsidR="006E1E6B" w:rsidRDefault="00000000">
            <w:r>
              <w:rPr>
                <w:sz w:val="20"/>
                <w:szCs w:val="20"/>
              </w:rPr>
              <w:t>Compliance Grade costs 5x Exploratory</w:t>
            </w:r>
          </w:p>
        </w:tc>
        <w:tc>
          <w:tcPr>
            <w:tcW w:w="5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13DB1A03" w14:textId="77777777" w:rsidR="006E1E6B" w:rsidRDefault="00000000">
            <w:r>
              <w:rPr>
                <w:sz w:val="20"/>
                <w:szCs w:val="20"/>
              </w:rPr>
              <w:t>$0.011 vs $0.002 per run. The cost premium is real. The question is whether it is justified — and the data says yes, when the correct tier is used.</w:t>
            </w:r>
          </w:p>
        </w:tc>
      </w:tr>
      <w:tr w:rsidR="006E1E6B" w14:paraId="0F464274" w14:textId="77777777">
        <w:tblPrEx>
          <w:tblCellMar>
            <w:top w:w="0" w:type="dxa"/>
            <w:bottom w:w="0" w:type="dxa"/>
          </w:tblCellMar>
        </w:tblPrEx>
        <w:tc>
          <w:tcPr>
            <w:tcW w:w="3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203A1632" w14:textId="77777777" w:rsidR="006E1E6B" w:rsidRDefault="00000000">
            <w:r>
              <w:rPr>
                <w:sz w:val="20"/>
                <w:szCs w:val="20"/>
              </w:rPr>
              <w:t>Enterprise tier dominates governance score</w:t>
            </w:r>
          </w:p>
        </w:tc>
        <w:tc>
          <w:tcPr>
            <w:tcW w:w="5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6F724ECF" w14:textId="77777777" w:rsidR="006E1E6B" w:rsidRDefault="00000000">
            <w:r>
              <w:rPr>
                <w:sz w:val="20"/>
                <w:szCs w:val="20"/>
              </w:rPr>
              <w:t>Enterprise models score 94+ on compliance and exploratory workloads. Lightweight models score 77. The quality gap is measurable and significant.</w:t>
            </w:r>
          </w:p>
        </w:tc>
      </w:tr>
      <w:tr w:rsidR="006E1E6B" w14:paraId="5622FCDF" w14:textId="77777777">
        <w:tblPrEx>
          <w:tblCellMar>
            <w:top w:w="0" w:type="dxa"/>
            <w:bottom w:w="0" w:type="dxa"/>
          </w:tblCellMar>
        </w:tblPrEx>
        <w:tc>
          <w:tcPr>
            <w:tcW w:w="3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15701B4F" w14:textId="77777777" w:rsidR="006E1E6B" w:rsidRDefault="00000000">
            <w:proofErr w:type="spellStart"/>
            <w:r>
              <w:rPr>
                <w:sz w:val="20"/>
                <w:szCs w:val="20"/>
              </w:rPr>
              <w:t>Avg</w:t>
            </w:r>
            <w:proofErr w:type="spellEnd"/>
            <w:r>
              <w:rPr>
                <w:sz w:val="20"/>
                <w:szCs w:val="20"/>
              </w:rPr>
              <w:t xml:space="preserve"> governance score: 81.91</w:t>
            </w:r>
          </w:p>
        </w:tc>
        <w:tc>
          <w:tcPr>
            <w:tcW w:w="5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08D45DE6" w14:textId="77777777" w:rsidR="006E1E6B" w:rsidRDefault="00000000">
            <w:r>
              <w:rPr>
                <w:sz w:val="20"/>
                <w:szCs w:val="20"/>
              </w:rPr>
              <w:t>Portfolio-wide average. Masks significant provider variance — Cohere averages 91+, Mistral averages 72. The aggregate hides the risk.</w:t>
            </w:r>
          </w:p>
        </w:tc>
      </w:tr>
    </w:tbl>
    <w:p w14:paraId="174BD952" w14:textId="77777777" w:rsidR="006E1E6B" w:rsidRDefault="006E1E6B">
      <w:pPr>
        <w:spacing w:before="120"/>
      </w:pPr>
    </w:p>
    <w:p w14:paraId="53DCDE41" w14:textId="77777777" w:rsidR="006E1E6B" w:rsidRDefault="00000000">
      <w:pPr>
        <w:pStyle w:val="Heading1"/>
        <w:spacing w:before="340" w:after="120"/>
      </w:pPr>
      <w:r>
        <w:rPr>
          <w:b/>
          <w:bCs/>
          <w:color w:val="1B3A6B"/>
          <w:sz w:val="28"/>
          <w:szCs w:val="28"/>
        </w:rPr>
        <w:t>5. Dashboard Insights — D2 Tier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6E1E6B" w14:paraId="0B809760" w14:textId="77777777">
        <w:tblPrEx>
          <w:tblCellMar>
            <w:top w:w="0" w:type="dxa"/>
            <w:bottom w:w="0" w:type="dxa"/>
          </w:tblCellMar>
        </w:tblPrEx>
        <w:tc>
          <w:tcPr>
            <w:tcW w:w="34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5B4737AE" w14:textId="77777777" w:rsidR="006E1E6B" w:rsidRDefault="00000000">
            <w:r>
              <w:rPr>
                <w:b/>
                <w:bCs/>
                <w:color w:val="FFFFFF"/>
                <w:sz w:val="20"/>
                <w:szCs w:val="20"/>
              </w:rPr>
              <w:t>Finding</w:t>
            </w:r>
          </w:p>
        </w:tc>
        <w:tc>
          <w:tcPr>
            <w:tcW w:w="59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563006C5" w14:textId="77777777" w:rsidR="006E1E6B" w:rsidRDefault="00000000">
            <w:r>
              <w:rPr>
                <w:b/>
                <w:bCs/>
                <w:color w:val="FFFFFF"/>
                <w:sz w:val="20"/>
                <w:szCs w:val="20"/>
              </w:rPr>
              <w:t>What It Means</w:t>
            </w:r>
          </w:p>
        </w:tc>
      </w:tr>
      <w:tr w:rsidR="006E1E6B" w14:paraId="2186E99A" w14:textId="77777777">
        <w:tblPrEx>
          <w:tblCellMar>
            <w:top w:w="0" w:type="dxa"/>
            <w:bottom w:w="0" w:type="dxa"/>
          </w:tblCellMar>
        </w:tblPrEx>
        <w:tc>
          <w:tcPr>
            <w:tcW w:w="3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5F3BEF40" w14:textId="77777777" w:rsidR="006E1E6B" w:rsidRDefault="00000000">
            <w:r>
              <w:rPr>
                <w:sz w:val="20"/>
                <w:szCs w:val="20"/>
              </w:rPr>
              <w:t>Lightweight tier has highest efficiency index: 87.62K</w:t>
            </w:r>
          </w:p>
        </w:tc>
        <w:tc>
          <w:tcPr>
            <w:tcW w:w="5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19565EFE" w14:textId="77777777" w:rsidR="006E1E6B" w:rsidRDefault="00000000">
            <w:r>
              <w:rPr>
                <w:sz w:val="20"/>
                <w:szCs w:val="20"/>
              </w:rPr>
              <w:t>Lightweight models deliver more governance value per dollar than enterprise. They are not just cheap — they are efficient. The insight is that efficiency and quality are different dimensions.</w:t>
            </w:r>
          </w:p>
        </w:tc>
      </w:tr>
      <w:tr w:rsidR="006E1E6B" w14:paraId="07152BF3" w14:textId="77777777">
        <w:tblPrEx>
          <w:tblCellMar>
            <w:top w:w="0" w:type="dxa"/>
            <w:bottom w:w="0" w:type="dxa"/>
          </w:tblCellMar>
        </w:tblPrEx>
        <w:tc>
          <w:tcPr>
            <w:tcW w:w="3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4FBC7CAE" w14:textId="77777777" w:rsidR="006E1E6B" w:rsidRDefault="00000000">
            <w:r>
              <w:rPr>
                <w:sz w:val="20"/>
                <w:szCs w:val="20"/>
              </w:rPr>
              <w:t>Enterprise tier scores 94+ on compliance</w:t>
            </w:r>
          </w:p>
        </w:tc>
        <w:tc>
          <w:tcPr>
            <w:tcW w:w="5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0D0800D9" w14:textId="77777777" w:rsidR="006E1E6B" w:rsidRDefault="00000000">
            <w:r>
              <w:rPr>
                <w:sz w:val="20"/>
                <w:szCs w:val="20"/>
              </w:rPr>
              <w:t>Raw quality justifies the cost premium on compliance workloads. But efficiency is lower — you are paying for quality, not value.</w:t>
            </w:r>
          </w:p>
        </w:tc>
      </w:tr>
      <w:tr w:rsidR="006E1E6B" w14:paraId="0A825BB1" w14:textId="77777777">
        <w:tblPrEx>
          <w:tblCellMar>
            <w:top w:w="0" w:type="dxa"/>
            <w:bottom w:w="0" w:type="dxa"/>
          </w:tblCellMar>
        </w:tblPrEx>
        <w:tc>
          <w:tcPr>
            <w:tcW w:w="3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5243B5B6" w14:textId="77777777" w:rsidR="006E1E6B" w:rsidRDefault="00000000">
            <w:r>
              <w:rPr>
                <w:sz w:val="20"/>
                <w:szCs w:val="20"/>
              </w:rPr>
              <w:t>Balanced tier is the analytical sweet spot</w:t>
            </w:r>
          </w:p>
        </w:tc>
        <w:tc>
          <w:tcPr>
            <w:tcW w:w="5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0A9ED5F2" w14:textId="77777777" w:rsidR="006E1E6B" w:rsidRDefault="00000000">
            <w:r>
              <w:rPr>
                <w:sz w:val="20"/>
                <w:szCs w:val="20"/>
              </w:rPr>
              <w:t>86.05 governance at $0.004 per run. Better quality than lightweight, lower cost than enterprise. Correctly matched to analytical workloads.</w:t>
            </w:r>
          </w:p>
        </w:tc>
      </w:tr>
      <w:tr w:rsidR="006E1E6B" w14:paraId="7B50DE79" w14:textId="77777777">
        <w:tblPrEx>
          <w:tblCellMar>
            <w:top w:w="0" w:type="dxa"/>
            <w:bottom w:w="0" w:type="dxa"/>
          </w:tblCellMar>
        </w:tblPrEx>
        <w:tc>
          <w:tcPr>
            <w:tcW w:w="3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4604404F" w14:textId="77777777" w:rsidR="006E1E6B" w:rsidRDefault="00000000">
            <w:r>
              <w:rPr>
                <w:sz w:val="20"/>
                <w:szCs w:val="20"/>
              </w:rPr>
              <w:t>Compliance has no lightweight allocation</w:t>
            </w:r>
          </w:p>
        </w:tc>
        <w:tc>
          <w:tcPr>
            <w:tcW w:w="5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2C23FA95" w14:textId="77777777" w:rsidR="006E1E6B" w:rsidRDefault="00000000">
            <w:r>
              <w:rPr>
                <w:sz w:val="20"/>
                <w:szCs w:val="20"/>
              </w:rPr>
              <w:t>By design. Compliance workloads require enterprise tier. Any lightweight allocation is a misallocation — and the data shows exactly how much quality is lost.</w:t>
            </w:r>
          </w:p>
        </w:tc>
      </w:tr>
    </w:tbl>
    <w:p w14:paraId="6873B892" w14:textId="77777777" w:rsidR="006E1E6B" w:rsidRDefault="006E1E6B">
      <w:pPr>
        <w:spacing w:before="120"/>
      </w:pPr>
    </w:p>
    <w:p w14:paraId="689F66B9" w14:textId="77777777" w:rsidR="00AF2503" w:rsidRDefault="00AF2503">
      <w:pPr>
        <w:spacing w:before="120"/>
      </w:pPr>
    </w:p>
    <w:p w14:paraId="6FBF10BD" w14:textId="77777777" w:rsidR="00AF2503" w:rsidRDefault="00AF2503">
      <w:pPr>
        <w:spacing w:before="120"/>
      </w:pPr>
    </w:p>
    <w:p w14:paraId="3A7CB98B" w14:textId="77777777" w:rsidR="006E1E6B" w:rsidRDefault="00000000">
      <w:pPr>
        <w:pStyle w:val="Heading1"/>
        <w:spacing w:before="340" w:after="120"/>
      </w:pPr>
      <w:r>
        <w:rPr>
          <w:b/>
          <w:bCs/>
          <w:color w:val="1B3A6B"/>
          <w:sz w:val="28"/>
          <w:szCs w:val="28"/>
        </w:rPr>
        <w:lastRenderedPageBreak/>
        <w:t>6. Dashboard Insights — D3 Vendor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6E1E6B" w14:paraId="0EA08AA0" w14:textId="77777777">
        <w:tblPrEx>
          <w:tblCellMar>
            <w:top w:w="0" w:type="dxa"/>
            <w:bottom w:w="0" w:type="dxa"/>
          </w:tblCellMar>
        </w:tblPrEx>
        <w:tc>
          <w:tcPr>
            <w:tcW w:w="34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5DE6D0AD" w14:textId="77777777" w:rsidR="006E1E6B" w:rsidRDefault="00000000">
            <w:r>
              <w:rPr>
                <w:b/>
                <w:bCs/>
                <w:color w:val="FFFFFF"/>
                <w:sz w:val="20"/>
                <w:szCs w:val="20"/>
              </w:rPr>
              <w:t>Finding</w:t>
            </w:r>
          </w:p>
        </w:tc>
        <w:tc>
          <w:tcPr>
            <w:tcW w:w="59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7AE06C1D" w14:textId="77777777" w:rsidR="006E1E6B" w:rsidRDefault="00000000">
            <w:r>
              <w:rPr>
                <w:b/>
                <w:bCs/>
                <w:color w:val="FFFFFF"/>
                <w:sz w:val="20"/>
                <w:szCs w:val="20"/>
              </w:rPr>
              <w:t>What It Means</w:t>
            </w:r>
          </w:p>
        </w:tc>
      </w:tr>
      <w:tr w:rsidR="006E1E6B" w14:paraId="4A0C7FEB" w14:textId="77777777">
        <w:tblPrEx>
          <w:tblCellMar>
            <w:top w:w="0" w:type="dxa"/>
            <w:bottom w:w="0" w:type="dxa"/>
          </w:tblCellMar>
        </w:tblPrEx>
        <w:tc>
          <w:tcPr>
            <w:tcW w:w="3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3FF2D9CB" w14:textId="77777777" w:rsidR="006E1E6B" w:rsidRDefault="00000000">
            <w:r>
              <w:rPr>
                <w:sz w:val="20"/>
                <w:szCs w:val="20"/>
              </w:rPr>
              <w:t>mistral-large and gpt-4o-mini: most stable (STDDEV 0.67)</w:t>
            </w:r>
          </w:p>
        </w:tc>
        <w:tc>
          <w:tcPr>
            <w:tcW w:w="5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629A0707" w14:textId="77777777" w:rsidR="006E1E6B" w:rsidRDefault="00000000">
            <w:r>
              <w:rPr>
                <w:sz w:val="20"/>
                <w:szCs w:val="20"/>
              </w:rPr>
              <w:t>Most predictable output quality across all states. Best choice where output consistency matters more than peak performance.</w:t>
            </w:r>
          </w:p>
        </w:tc>
      </w:tr>
      <w:tr w:rsidR="006E1E6B" w14:paraId="0C9AC9DB" w14:textId="77777777">
        <w:tblPrEx>
          <w:tblCellMar>
            <w:top w:w="0" w:type="dxa"/>
            <w:bottom w:w="0" w:type="dxa"/>
          </w:tblCellMar>
        </w:tblPrEx>
        <w:tc>
          <w:tcPr>
            <w:tcW w:w="3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5C94352F" w14:textId="77777777" w:rsidR="006E1E6B" w:rsidRDefault="00000000">
            <w:r>
              <w:rPr>
                <w:sz w:val="20"/>
                <w:szCs w:val="20"/>
              </w:rPr>
              <w:t>Cohere top-right on cost vs governance scatter</w:t>
            </w:r>
          </w:p>
        </w:tc>
        <w:tc>
          <w:tcPr>
            <w:tcW w:w="5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3CC92B9C" w14:textId="77777777" w:rsidR="006E1E6B" w:rsidRDefault="00000000">
            <w:r>
              <w:rPr>
                <w:sz w:val="20"/>
                <w:szCs w:val="20"/>
              </w:rPr>
              <w:t>Highest governance score, highest cost. Premium quality at premium price. Justified for compliance — not for exploratory.</w:t>
            </w:r>
          </w:p>
        </w:tc>
      </w:tr>
      <w:tr w:rsidR="006E1E6B" w14:paraId="48CD58C8" w14:textId="77777777">
        <w:tblPrEx>
          <w:tblCellMar>
            <w:top w:w="0" w:type="dxa"/>
            <w:bottom w:w="0" w:type="dxa"/>
          </w:tblCellMar>
        </w:tblPrEx>
        <w:tc>
          <w:tcPr>
            <w:tcW w:w="3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293E834B" w14:textId="77777777" w:rsidR="006E1E6B" w:rsidRDefault="00000000">
            <w:r>
              <w:rPr>
                <w:sz w:val="20"/>
                <w:szCs w:val="20"/>
              </w:rPr>
              <w:t>Google and Mistral cluster bottom-left</w:t>
            </w:r>
          </w:p>
        </w:tc>
        <w:tc>
          <w:tcPr>
            <w:tcW w:w="5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5E3F9894" w14:textId="77777777" w:rsidR="006E1E6B" w:rsidRDefault="00000000">
            <w:r>
              <w:rPr>
                <w:sz w:val="20"/>
                <w:szCs w:val="20"/>
              </w:rPr>
              <w:t>Low cost, lower governance. Fast and cheap. Suitable for exploratory workloads where precision is not critical.</w:t>
            </w:r>
          </w:p>
        </w:tc>
      </w:tr>
      <w:tr w:rsidR="006E1E6B" w14:paraId="20CAD5C2" w14:textId="77777777">
        <w:tblPrEx>
          <w:tblCellMar>
            <w:top w:w="0" w:type="dxa"/>
            <w:bottom w:w="0" w:type="dxa"/>
          </w:tblCellMar>
        </w:tblPrEx>
        <w:tc>
          <w:tcPr>
            <w:tcW w:w="3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08D3C388" w14:textId="77777777" w:rsidR="006E1E6B" w:rsidRDefault="00000000">
            <w:r>
              <w:rPr>
                <w:sz w:val="20"/>
                <w:szCs w:val="20"/>
              </w:rPr>
              <w:t>gemini-1.5-pro and command-r-plus: least stable (0.45)</w:t>
            </w:r>
          </w:p>
        </w:tc>
        <w:tc>
          <w:tcPr>
            <w:tcW w:w="5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3F00E7D6" w14:textId="77777777" w:rsidR="006E1E6B" w:rsidRDefault="00000000">
            <w:r>
              <w:rPr>
                <w:sz w:val="20"/>
                <w:szCs w:val="20"/>
              </w:rPr>
              <w:t>Enterprise-tier models with the highest output variance. High average score but inconsistent. Risk in compliance use — a bad run on a regulated report is unacceptable.</w:t>
            </w:r>
          </w:p>
        </w:tc>
      </w:tr>
    </w:tbl>
    <w:p w14:paraId="2077453A" w14:textId="77777777" w:rsidR="006E1E6B" w:rsidRDefault="006E1E6B">
      <w:pPr>
        <w:spacing w:before="120"/>
      </w:pPr>
    </w:p>
    <w:p w14:paraId="1AA77C11" w14:textId="77777777" w:rsidR="006E1E6B" w:rsidRDefault="00000000">
      <w:pPr>
        <w:pStyle w:val="Heading1"/>
        <w:spacing w:before="340" w:after="120"/>
      </w:pPr>
      <w:r>
        <w:rPr>
          <w:b/>
          <w:bCs/>
          <w:color w:val="1B3A6B"/>
          <w:sz w:val="28"/>
          <w:szCs w:val="28"/>
        </w:rPr>
        <w:t>7. Dashboard Insights — D4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6E1E6B" w14:paraId="409B28FA" w14:textId="77777777">
        <w:tblPrEx>
          <w:tblCellMar>
            <w:top w:w="0" w:type="dxa"/>
            <w:bottom w:w="0" w:type="dxa"/>
          </w:tblCellMar>
        </w:tblPrEx>
        <w:tc>
          <w:tcPr>
            <w:tcW w:w="34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264F6248" w14:textId="77777777" w:rsidR="006E1E6B" w:rsidRDefault="00000000">
            <w:r>
              <w:rPr>
                <w:b/>
                <w:bCs/>
                <w:color w:val="FFFFFF"/>
                <w:sz w:val="20"/>
                <w:szCs w:val="20"/>
              </w:rPr>
              <w:t>Finding</w:t>
            </w:r>
          </w:p>
        </w:tc>
        <w:tc>
          <w:tcPr>
            <w:tcW w:w="59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4E7A3048" w14:textId="77777777" w:rsidR="006E1E6B" w:rsidRDefault="00000000">
            <w:r>
              <w:rPr>
                <w:b/>
                <w:bCs/>
                <w:color w:val="FFFFFF"/>
                <w:sz w:val="20"/>
                <w:szCs w:val="20"/>
              </w:rPr>
              <w:t>What It Means</w:t>
            </w:r>
          </w:p>
        </w:tc>
      </w:tr>
      <w:tr w:rsidR="006E1E6B" w14:paraId="4B78905B" w14:textId="77777777">
        <w:tblPrEx>
          <w:tblCellMar>
            <w:top w:w="0" w:type="dxa"/>
            <w:bottom w:w="0" w:type="dxa"/>
          </w:tblCellMar>
        </w:tblPrEx>
        <w:tc>
          <w:tcPr>
            <w:tcW w:w="3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1B7FCB1A" w14:textId="77777777" w:rsidR="006E1E6B" w:rsidRDefault="00000000">
            <w:r>
              <w:rPr>
                <w:sz w:val="20"/>
                <w:szCs w:val="20"/>
              </w:rPr>
              <w:t>Cohere: slowest at 1,181ms</w:t>
            </w:r>
          </w:p>
        </w:tc>
        <w:tc>
          <w:tcPr>
            <w:tcW w:w="5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109F547A" w14:textId="77777777" w:rsidR="006E1E6B" w:rsidRDefault="00000000">
            <w:r>
              <w:rPr>
                <w:sz w:val="20"/>
                <w:szCs w:val="20"/>
              </w:rPr>
              <w:t xml:space="preserve">Cohere is a clear latency outlier. For overnight batch compliance reporting, 1,181ms is acceptable. For real-time dashboards, it is not. Workload type determines whether </w:t>
            </w:r>
            <w:proofErr w:type="gramStart"/>
            <w:r>
              <w:rPr>
                <w:sz w:val="20"/>
                <w:szCs w:val="20"/>
              </w:rPr>
              <w:t>this matters</w:t>
            </w:r>
            <w:proofErr w:type="gramEnd"/>
            <w:r>
              <w:rPr>
                <w:sz w:val="20"/>
                <w:szCs w:val="20"/>
              </w:rPr>
              <w:t>.</w:t>
            </w:r>
          </w:p>
        </w:tc>
      </w:tr>
      <w:tr w:rsidR="006E1E6B" w14:paraId="3164578C" w14:textId="77777777">
        <w:tblPrEx>
          <w:tblCellMar>
            <w:top w:w="0" w:type="dxa"/>
            <w:bottom w:w="0" w:type="dxa"/>
          </w:tblCellMar>
        </w:tblPrEx>
        <w:tc>
          <w:tcPr>
            <w:tcW w:w="3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6B46CA33" w14:textId="77777777" w:rsidR="006E1E6B" w:rsidRDefault="00000000">
            <w:r>
              <w:rPr>
                <w:sz w:val="20"/>
                <w:szCs w:val="20"/>
              </w:rPr>
              <w:t>Mistral: fastest at 716ms</w:t>
            </w:r>
          </w:p>
        </w:tc>
        <w:tc>
          <w:tcPr>
            <w:tcW w:w="5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15C7E9E3" w14:textId="77777777" w:rsidR="006E1E6B" w:rsidRDefault="00000000">
            <w:r>
              <w:rPr>
                <w:sz w:val="20"/>
                <w:szCs w:val="20"/>
              </w:rPr>
              <w:t>Best response time in the portfolio. Confirms Mistral's positioning as the speed-and-cost provider — but governance quality does not match.</w:t>
            </w:r>
          </w:p>
        </w:tc>
      </w:tr>
      <w:tr w:rsidR="006E1E6B" w14:paraId="2EEBC5C9" w14:textId="77777777">
        <w:tblPrEx>
          <w:tblCellMar>
            <w:top w:w="0" w:type="dxa"/>
            <w:bottom w:w="0" w:type="dxa"/>
          </w:tblCellMar>
        </w:tblPrEx>
        <w:tc>
          <w:tcPr>
            <w:tcW w:w="3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717F6488" w14:textId="77777777" w:rsidR="006E1E6B" w:rsidRDefault="00000000">
            <w:r>
              <w:rPr>
                <w:sz w:val="20"/>
                <w:szCs w:val="20"/>
              </w:rPr>
              <w:t>Compliance workload has highest latency: 955ms</w:t>
            </w:r>
          </w:p>
        </w:tc>
        <w:tc>
          <w:tcPr>
            <w:tcW w:w="5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3F40AAF8" w14:textId="77777777" w:rsidR="006E1E6B" w:rsidRDefault="00000000">
            <w:r>
              <w:rPr>
                <w:sz w:val="20"/>
                <w:szCs w:val="20"/>
              </w:rPr>
              <w:t>Enterprise models are slower. The latency premium is the cost of running the most capable models. Acceptable for scheduled reporting cycles.</w:t>
            </w:r>
          </w:p>
        </w:tc>
      </w:tr>
      <w:tr w:rsidR="006E1E6B" w14:paraId="44CF30DD" w14:textId="77777777">
        <w:tblPrEx>
          <w:tblCellMar>
            <w:top w:w="0" w:type="dxa"/>
            <w:bottom w:w="0" w:type="dxa"/>
          </w:tblCellMar>
        </w:tblPrEx>
        <w:tc>
          <w:tcPr>
            <w:tcW w:w="3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260F73C2" w14:textId="77777777" w:rsidR="006E1E6B" w:rsidRDefault="00000000">
            <w:r>
              <w:rPr>
                <w:sz w:val="20"/>
                <w:szCs w:val="20"/>
              </w:rPr>
              <w:t>Cohere is only provider above both benchmarks on D4 scatter</w:t>
            </w:r>
          </w:p>
        </w:tc>
        <w:tc>
          <w:tcPr>
            <w:tcW w:w="5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39D894BF" w14:textId="77777777" w:rsidR="006E1E6B" w:rsidRDefault="00000000">
            <w:r>
              <w:rPr>
                <w:sz w:val="20"/>
                <w:szCs w:val="20"/>
              </w:rPr>
              <w:t xml:space="preserve">High governance quality but outside the acceptable latency threshold. The only provider that clears the governance bar while exceeding the latency limit. A direct </w:t>
            </w:r>
            <w:proofErr w:type="spellStart"/>
            <w:r>
              <w:rPr>
                <w:sz w:val="20"/>
                <w:szCs w:val="20"/>
              </w:rPr>
              <w:t>tradeoff</w:t>
            </w:r>
            <w:proofErr w:type="spellEnd"/>
            <w:r>
              <w:rPr>
                <w:sz w:val="20"/>
                <w:szCs w:val="20"/>
              </w:rPr>
              <w:t xml:space="preserve"> the data makes visible.</w:t>
            </w:r>
          </w:p>
        </w:tc>
      </w:tr>
    </w:tbl>
    <w:p w14:paraId="5B926114" w14:textId="77777777" w:rsidR="006E1E6B" w:rsidRDefault="006E1E6B">
      <w:pPr>
        <w:spacing w:before="120"/>
      </w:pPr>
    </w:p>
    <w:p w14:paraId="19A33175" w14:textId="77777777" w:rsidR="006E1E6B" w:rsidRDefault="00000000">
      <w:pPr>
        <w:pStyle w:val="Heading1"/>
        <w:spacing w:before="340" w:after="120"/>
      </w:pPr>
      <w:r>
        <w:rPr>
          <w:b/>
          <w:bCs/>
          <w:color w:val="1B3A6B"/>
          <w:sz w:val="28"/>
          <w:szCs w:val="28"/>
        </w:rPr>
        <w:t>8. Dashboard Insights — D5 Risk &amp;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6E1E6B" w14:paraId="6FB11C22" w14:textId="77777777">
        <w:tblPrEx>
          <w:tblCellMar>
            <w:top w:w="0" w:type="dxa"/>
            <w:bottom w:w="0" w:type="dxa"/>
          </w:tblCellMar>
        </w:tblPrEx>
        <w:tc>
          <w:tcPr>
            <w:tcW w:w="34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24AD0C47" w14:textId="77777777" w:rsidR="006E1E6B" w:rsidRDefault="00000000">
            <w:r>
              <w:rPr>
                <w:b/>
                <w:bCs/>
                <w:color w:val="FFFFFF"/>
                <w:sz w:val="20"/>
                <w:szCs w:val="20"/>
              </w:rPr>
              <w:t>Finding</w:t>
            </w:r>
          </w:p>
        </w:tc>
        <w:tc>
          <w:tcPr>
            <w:tcW w:w="59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1DBCD12B" w14:textId="77777777" w:rsidR="006E1E6B" w:rsidRDefault="00000000">
            <w:r>
              <w:rPr>
                <w:b/>
                <w:bCs/>
                <w:color w:val="FFFFFF"/>
                <w:sz w:val="20"/>
                <w:szCs w:val="20"/>
              </w:rPr>
              <w:t>What It Means</w:t>
            </w:r>
          </w:p>
        </w:tc>
      </w:tr>
      <w:tr w:rsidR="006E1E6B" w14:paraId="2B531956" w14:textId="77777777">
        <w:tblPrEx>
          <w:tblCellMar>
            <w:top w:w="0" w:type="dxa"/>
            <w:bottom w:w="0" w:type="dxa"/>
          </w:tblCellMar>
        </w:tblPrEx>
        <w:tc>
          <w:tcPr>
            <w:tcW w:w="3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7891496C" w14:textId="77777777" w:rsidR="006E1E6B" w:rsidRDefault="00000000">
            <w:r>
              <w:rPr>
                <w:sz w:val="20"/>
                <w:szCs w:val="20"/>
              </w:rPr>
              <w:t>Misallocation rate: 50%</w:t>
            </w:r>
          </w:p>
        </w:tc>
        <w:tc>
          <w:tcPr>
            <w:tcW w:w="5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78BAA4D9" w14:textId="77777777" w:rsidR="006E1E6B" w:rsidRDefault="00000000">
            <w:r>
              <w:rPr>
                <w:sz w:val="20"/>
                <w:szCs w:val="20"/>
              </w:rPr>
              <w:t>Half of all runs used the wrong model tier. This is not a vendor problem — it is a governance process failure. Fix the allocation policy and misallocation drops to zero.</w:t>
            </w:r>
          </w:p>
        </w:tc>
      </w:tr>
      <w:tr w:rsidR="006E1E6B" w14:paraId="243E6B7B" w14:textId="77777777">
        <w:tblPrEx>
          <w:tblCellMar>
            <w:top w:w="0" w:type="dxa"/>
            <w:bottom w:w="0" w:type="dxa"/>
          </w:tblCellMar>
        </w:tblPrEx>
        <w:tc>
          <w:tcPr>
            <w:tcW w:w="3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2DFFBF80" w14:textId="77777777" w:rsidR="006E1E6B" w:rsidRDefault="00000000">
            <w:r>
              <w:rPr>
                <w:sz w:val="20"/>
                <w:szCs w:val="20"/>
              </w:rPr>
              <w:t>Cohere: highest governance floor at 85</w:t>
            </w:r>
          </w:p>
        </w:tc>
        <w:tc>
          <w:tcPr>
            <w:tcW w:w="5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47626160" w14:textId="77777777" w:rsidR="006E1E6B" w:rsidRDefault="00000000">
            <w:r>
              <w:rPr>
                <w:sz w:val="20"/>
                <w:szCs w:val="20"/>
              </w:rPr>
              <w:t>Even in a worst-case run, Cohere scores 85. Most reliable provider for compliance workloads where floor quality matters as much as average quality.</w:t>
            </w:r>
          </w:p>
        </w:tc>
      </w:tr>
      <w:tr w:rsidR="006E1E6B" w14:paraId="4DAE0DA6" w14:textId="77777777">
        <w:tblPrEx>
          <w:tblCellMar>
            <w:top w:w="0" w:type="dxa"/>
            <w:bottom w:w="0" w:type="dxa"/>
          </w:tblCellMar>
        </w:tblPrEx>
        <w:tc>
          <w:tcPr>
            <w:tcW w:w="3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09AE0BBA" w14:textId="77777777" w:rsidR="006E1E6B" w:rsidRDefault="00000000">
            <w:r>
              <w:rPr>
                <w:sz w:val="20"/>
                <w:szCs w:val="20"/>
              </w:rPr>
              <w:t>Mistral: lowest governance floor at 60</w:t>
            </w:r>
          </w:p>
        </w:tc>
        <w:tc>
          <w:tcPr>
            <w:tcW w:w="5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7504A154" w14:textId="77777777" w:rsidR="006E1E6B" w:rsidRDefault="00000000">
            <w:r>
              <w:rPr>
                <w:sz w:val="20"/>
                <w:szCs w:val="20"/>
              </w:rPr>
              <w:t>Worst-case Mistral runs score 60 — 25 points below Cohere. In a compliance report, a score of 60 is a failure. This is the core risk argument for blocking Mistral from compliance workloads.</w:t>
            </w:r>
          </w:p>
        </w:tc>
      </w:tr>
      <w:tr w:rsidR="006E1E6B" w14:paraId="0C0AD18E" w14:textId="77777777">
        <w:tblPrEx>
          <w:tblCellMar>
            <w:top w:w="0" w:type="dxa"/>
            <w:bottom w:w="0" w:type="dxa"/>
          </w:tblCellMar>
        </w:tblPrEx>
        <w:tc>
          <w:tcPr>
            <w:tcW w:w="3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294E7624" w14:textId="77777777" w:rsidR="006E1E6B" w:rsidRDefault="00000000">
            <w:r>
              <w:rPr>
                <w:sz w:val="20"/>
                <w:szCs w:val="20"/>
              </w:rPr>
              <w:t>Anthropic: second-lowest hallucination at 12.6</w:t>
            </w:r>
          </w:p>
        </w:tc>
        <w:tc>
          <w:tcPr>
            <w:tcW w:w="5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42171EF1" w14:textId="77777777" w:rsidR="006E1E6B" w:rsidRDefault="00000000">
            <w:r>
              <w:rPr>
                <w:sz w:val="20"/>
                <w:szCs w:val="20"/>
              </w:rPr>
              <w:t xml:space="preserve">Anthropic is underrated in this dataset. Lower hallucination than OpenAI, faster than </w:t>
            </w:r>
            <w:proofErr w:type="gramStart"/>
            <w:r>
              <w:rPr>
                <w:sz w:val="20"/>
                <w:szCs w:val="20"/>
              </w:rPr>
              <w:t>Cohere</w:t>
            </w:r>
            <w:proofErr w:type="gramEnd"/>
            <w:r>
              <w:rPr>
                <w:sz w:val="20"/>
                <w:szCs w:val="20"/>
              </w:rPr>
              <w:t>, strong governance. A strong compliance alternative when Cohere latency is unacceptable.</w:t>
            </w:r>
          </w:p>
        </w:tc>
      </w:tr>
    </w:tbl>
    <w:p w14:paraId="61F5D9AA" w14:textId="77777777" w:rsidR="006E1E6B" w:rsidRDefault="00000000">
      <w:pPr>
        <w:pStyle w:val="Heading1"/>
        <w:spacing w:before="340" w:after="120"/>
      </w:pPr>
      <w:r>
        <w:rPr>
          <w:b/>
          <w:bCs/>
          <w:color w:val="1B3A6B"/>
          <w:sz w:val="28"/>
          <w:szCs w:val="28"/>
        </w:rPr>
        <w:lastRenderedPageBreak/>
        <w:t>9. The Non-Obvious Insights</w:t>
      </w:r>
    </w:p>
    <w:p w14:paraId="2FAC2E84" w14:textId="77777777" w:rsidR="006E1E6B" w:rsidRDefault="00000000">
      <w:pPr>
        <w:spacing w:before="80" w:after="120" w:line="276" w:lineRule="auto"/>
        <w:jc w:val="both"/>
      </w:pPr>
      <w:r>
        <w:t>These are the insights that do not appear on a single dashboard — they emerge from reading the data across multiple views. These are the findings that separate a data analyst from a data engineer who understands the system.</w:t>
      </w:r>
    </w:p>
    <w:p w14:paraId="7B815D09" w14:textId="77777777" w:rsidR="006E1E6B" w:rsidRDefault="006E1E6B">
      <w:pPr>
        <w:spacing w:before="80"/>
      </w:pPr>
    </w:p>
    <w:p w14:paraId="2CDB0F5E" w14:textId="77777777" w:rsidR="006E1E6B" w:rsidRDefault="00000000">
      <w:pPr>
        <w:pStyle w:val="ListParagraph"/>
        <w:numPr>
          <w:ilvl w:val="0"/>
          <w:numId w:val="2"/>
        </w:numPr>
        <w:spacing w:before="60" w:after="80" w:line="260" w:lineRule="auto"/>
      </w:pPr>
      <w:r>
        <w:rPr>
          <w:b/>
          <w:bCs/>
          <w:color w:val="1B3A6B"/>
        </w:rPr>
        <w:t>Anthropic is underrated</w:t>
      </w:r>
      <w:r>
        <w:t xml:space="preserve"> — Anthropic never ranks first on any single dimension. But across all dimensions combined — hallucination 12.6, governance 84.92, latency 791ms, mid-range cost — it is the most balanced compliance provider. A stakeholder looking only at the top-line rankings misses this.</w:t>
      </w:r>
    </w:p>
    <w:p w14:paraId="6AE94E9B" w14:textId="77777777" w:rsidR="006E1E6B" w:rsidRDefault="00000000">
      <w:pPr>
        <w:pStyle w:val="ListParagraph"/>
        <w:numPr>
          <w:ilvl w:val="0"/>
          <w:numId w:val="2"/>
        </w:numPr>
        <w:spacing w:before="60" w:after="80" w:line="260" w:lineRule="auto"/>
      </w:pPr>
      <w:r>
        <w:rPr>
          <w:b/>
          <w:bCs/>
          <w:color w:val="1B3A6B"/>
        </w:rPr>
        <w:t>The average governance score hides the risk</w:t>
      </w:r>
      <w:r>
        <w:t xml:space="preserve"> — The portfolio average of 81.91 looks acceptable. But Mistral's floor is 60 and it has hallucination risk of 18.9. The average masks a provider that is actively dangerous for compliance workloads. Always look at the floor, not just the average.</w:t>
      </w:r>
    </w:p>
    <w:p w14:paraId="137978C3" w14:textId="77777777" w:rsidR="006E1E6B" w:rsidRDefault="00000000">
      <w:pPr>
        <w:pStyle w:val="ListParagraph"/>
        <w:numPr>
          <w:ilvl w:val="0"/>
          <w:numId w:val="2"/>
        </w:numPr>
        <w:spacing w:before="60" w:after="80" w:line="260" w:lineRule="auto"/>
      </w:pPr>
      <w:r>
        <w:rPr>
          <w:b/>
          <w:bCs/>
          <w:color w:val="1B3A6B"/>
        </w:rPr>
        <w:t>Lightweight efficiency beats enterprise efficiency</w:t>
      </w:r>
      <w:r>
        <w:t xml:space="preserve"> — Enterprise models score higher. But lightweight models score higher per dollar. If governance quality is adequate for the task, using enterprise models for exploratory queries is a waste — not a safety net.</w:t>
      </w:r>
    </w:p>
    <w:p w14:paraId="361A8C69" w14:textId="77777777" w:rsidR="006E1E6B" w:rsidRDefault="00000000">
      <w:pPr>
        <w:pStyle w:val="ListParagraph"/>
        <w:numPr>
          <w:ilvl w:val="0"/>
          <w:numId w:val="2"/>
        </w:numPr>
        <w:spacing w:before="60" w:after="80" w:line="260" w:lineRule="auto"/>
      </w:pPr>
      <w:r>
        <w:rPr>
          <w:b/>
          <w:bCs/>
          <w:color w:val="1B3A6B"/>
        </w:rPr>
        <w:t>Negative cost waste is not a success signal</w:t>
      </w:r>
      <w:r>
        <w:t xml:space="preserve"> — A negative cost waste value looks like savings. It is not. It means a cheap model was used on a task that required a better one. The money was saved but the governance quality was lost. Negative waste on compliance workloads is a risk signal, not a win.</w:t>
      </w:r>
    </w:p>
    <w:p w14:paraId="33895B22" w14:textId="77777777" w:rsidR="006E1E6B" w:rsidRDefault="00000000">
      <w:pPr>
        <w:pStyle w:val="ListParagraph"/>
        <w:numPr>
          <w:ilvl w:val="0"/>
          <w:numId w:val="2"/>
        </w:numPr>
        <w:spacing w:before="60" w:after="80" w:line="260" w:lineRule="auto"/>
      </w:pPr>
      <w:r>
        <w:rPr>
          <w:b/>
          <w:bCs/>
          <w:color w:val="1B3A6B"/>
        </w:rPr>
        <w:t>mistral-large is the reliability paradox</w:t>
      </w:r>
      <w:r>
        <w:t xml:space="preserve"> — Mistral has the highest hallucination risk in the portfolio. But mistral-large is the most stable model by STDDEV. High stability does not mean high quality — it means consistent quality, whatever that quality level is. Mistral is consistently mediocre. That is not the same as reliably good.</w:t>
      </w:r>
    </w:p>
    <w:p w14:paraId="3779E9AA" w14:textId="77777777" w:rsidR="006E1E6B" w:rsidRDefault="006E1E6B">
      <w:pPr>
        <w:spacing w:before="120"/>
      </w:pPr>
    </w:p>
    <w:p w14:paraId="5B05EF14" w14:textId="77777777" w:rsidR="006E1E6B" w:rsidRDefault="00000000">
      <w:pPr>
        <w:pStyle w:val="Heading1"/>
        <w:spacing w:before="340" w:after="120"/>
      </w:pPr>
      <w:r>
        <w:rPr>
          <w:b/>
          <w:bCs/>
          <w:color w:val="1B3A6B"/>
          <w:sz w:val="28"/>
          <w:szCs w:val="28"/>
        </w:rPr>
        <w:t>10. The Cross-Dashboard Story</w:t>
      </w:r>
    </w:p>
    <w:p w14:paraId="0DB1C7AF" w14:textId="77777777" w:rsidR="006E1E6B" w:rsidRDefault="00000000">
      <w:pPr>
        <w:spacing w:before="80" w:after="120" w:line="276" w:lineRule="auto"/>
        <w:jc w:val="both"/>
      </w:pPr>
      <w:r>
        <w:t>The six dashboards tell a connected story. Each finding in one dashboard is explained or qualified by a finding in another. This table maps the connections.</w:t>
      </w:r>
    </w:p>
    <w:p w14:paraId="784629E3" w14:textId="77777777" w:rsidR="006E1E6B" w:rsidRDefault="006E1E6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560"/>
        <w:gridCol w:w="4400"/>
      </w:tblGrid>
      <w:tr w:rsidR="006E1E6B" w14:paraId="5BDCB576" w14:textId="77777777">
        <w:tblPrEx>
          <w:tblCellMar>
            <w:top w:w="0" w:type="dxa"/>
            <w:bottom w:w="0" w:type="dxa"/>
          </w:tblCellMar>
        </w:tblPrEx>
        <w:tc>
          <w:tcPr>
            <w:tcW w:w="14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36C1D4D7" w14:textId="77777777" w:rsidR="006E1E6B" w:rsidRDefault="00000000">
            <w:r>
              <w:rPr>
                <w:b/>
                <w:bCs/>
                <w:color w:val="FFFFFF"/>
                <w:sz w:val="20"/>
                <w:szCs w:val="20"/>
              </w:rPr>
              <w:t>Dashboard</w:t>
            </w:r>
          </w:p>
        </w:tc>
        <w:tc>
          <w:tcPr>
            <w:tcW w:w="35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450EFAD2" w14:textId="77777777" w:rsidR="006E1E6B" w:rsidRDefault="00000000">
            <w:r>
              <w:rPr>
                <w:b/>
                <w:bCs/>
                <w:color w:val="FFFFFF"/>
                <w:sz w:val="20"/>
                <w:szCs w:val="20"/>
              </w:rPr>
              <w:t>Key Finding</w:t>
            </w:r>
          </w:p>
        </w:tc>
        <w:tc>
          <w:tcPr>
            <w:tcW w:w="44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6AB92566" w14:textId="77777777" w:rsidR="006E1E6B" w:rsidRDefault="00000000">
            <w:r>
              <w:rPr>
                <w:b/>
                <w:bCs/>
                <w:color w:val="FFFFFF"/>
                <w:sz w:val="20"/>
                <w:szCs w:val="20"/>
              </w:rPr>
              <w:t>Connected To</w:t>
            </w:r>
          </w:p>
        </w:tc>
      </w:tr>
      <w:tr w:rsidR="006E1E6B" w14:paraId="5F8314F7" w14:textId="77777777">
        <w:tblPrEx>
          <w:tblCellMar>
            <w:top w:w="0" w:type="dxa"/>
            <w:bottom w:w="0" w:type="dxa"/>
          </w:tblCellMar>
        </w:tblPrEx>
        <w:tc>
          <w:tcPr>
            <w:tcW w:w="1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3D2A4FED" w14:textId="77777777" w:rsidR="006E1E6B" w:rsidRDefault="00000000">
            <w:r>
              <w:rPr>
                <w:sz w:val="20"/>
                <w:szCs w:val="20"/>
              </w:rPr>
              <w:t>D1</w:t>
            </w:r>
          </w:p>
        </w:tc>
        <w:tc>
          <w:tcPr>
            <w:tcW w:w="35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1B490BB2" w14:textId="77777777" w:rsidR="006E1E6B" w:rsidRDefault="00000000">
            <w:r>
              <w:rPr>
                <w:sz w:val="20"/>
                <w:szCs w:val="20"/>
              </w:rPr>
              <w:t>Compliance Grade costs 5x Exploratory</w:t>
            </w:r>
          </w:p>
        </w:tc>
        <w:tc>
          <w:tcPr>
            <w:tcW w:w="4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5C5261E9" w14:textId="77777777" w:rsidR="006E1E6B" w:rsidRDefault="00000000">
            <w:r>
              <w:rPr>
                <w:sz w:val="20"/>
                <w:szCs w:val="20"/>
              </w:rPr>
              <w:t>D2: Enterprise tier justifies cost. D5: Misallocation inflates this further.</w:t>
            </w:r>
          </w:p>
        </w:tc>
      </w:tr>
      <w:tr w:rsidR="006E1E6B" w14:paraId="18BC24E0" w14:textId="77777777">
        <w:tblPrEx>
          <w:tblCellMar>
            <w:top w:w="0" w:type="dxa"/>
            <w:bottom w:w="0" w:type="dxa"/>
          </w:tblCellMar>
        </w:tblPrEx>
        <w:tc>
          <w:tcPr>
            <w:tcW w:w="1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42C82218" w14:textId="77777777" w:rsidR="006E1E6B" w:rsidRDefault="00000000">
            <w:r>
              <w:rPr>
                <w:sz w:val="20"/>
                <w:szCs w:val="20"/>
              </w:rPr>
              <w:t>D2</w:t>
            </w:r>
          </w:p>
        </w:tc>
        <w:tc>
          <w:tcPr>
            <w:tcW w:w="35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12D0CECF" w14:textId="77777777" w:rsidR="006E1E6B" w:rsidRDefault="00000000">
            <w:r>
              <w:rPr>
                <w:sz w:val="20"/>
                <w:szCs w:val="20"/>
              </w:rPr>
              <w:t>Lightweight tier has best efficiency index</w:t>
            </w:r>
          </w:p>
        </w:tc>
        <w:tc>
          <w:tcPr>
            <w:tcW w:w="4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6F9A97BD" w14:textId="77777777" w:rsidR="006E1E6B" w:rsidRDefault="00000000">
            <w:r>
              <w:rPr>
                <w:sz w:val="20"/>
                <w:szCs w:val="20"/>
              </w:rPr>
              <w:t xml:space="preserve">D3: Cheap models like </w:t>
            </w:r>
            <w:proofErr w:type="spellStart"/>
            <w:r>
              <w:rPr>
                <w:sz w:val="20"/>
                <w:szCs w:val="20"/>
              </w:rPr>
              <w:t>gemini</w:t>
            </w:r>
            <w:proofErr w:type="spellEnd"/>
            <w:r>
              <w:rPr>
                <w:sz w:val="20"/>
                <w:szCs w:val="20"/>
              </w:rPr>
              <w:t>-flash confirm cost efficiency. D5: But only when correctly allocated.</w:t>
            </w:r>
          </w:p>
        </w:tc>
      </w:tr>
      <w:tr w:rsidR="006E1E6B" w14:paraId="5271070C" w14:textId="77777777">
        <w:tblPrEx>
          <w:tblCellMar>
            <w:top w:w="0" w:type="dxa"/>
            <w:bottom w:w="0" w:type="dxa"/>
          </w:tblCellMar>
        </w:tblPrEx>
        <w:tc>
          <w:tcPr>
            <w:tcW w:w="1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04DF588E" w14:textId="77777777" w:rsidR="006E1E6B" w:rsidRDefault="00000000">
            <w:r>
              <w:rPr>
                <w:sz w:val="20"/>
                <w:szCs w:val="20"/>
              </w:rPr>
              <w:t>D3</w:t>
            </w:r>
          </w:p>
        </w:tc>
        <w:tc>
          <w:tcPr>
            <w:tcW w:w="35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0754F563" w14:textId="77777777" w:rsidR="006E1E6B" w:rsidRDefault="00000000">
            <w:r>
              <w:rPr>
                <w:sz w:val="20"/>
                <w:szCs w:val="20"/>
              </w:rPr>
              <w:t>Cohere is highest quality, highest cost</w:t>
            </w:r>
          </w:p>
        </w:tc>
        <w:tc>
          <w:tcPr>
            <w:tcW w:w="4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61569A79" w14:textId="77777777" w:rsidR="006E1E6B" w:rsidRDefault="00000000">
            <w:r>
              <w:rPr>
                <w:sz w:val="20"/>
                <w:szCs w:val="20"/>
              </w:rPr>
              <w:t>D4: Cohere is also slowest. D6: Still ranks #1 across all workloads on governance.</w:t>
            </w:r>
          </w:p>
        </w:tc>
      </w:tr>
      <w:tr w:rsidR="006E1E6B" w14:paraId="576F0999" w14:textId="77777777">
        <w:tblPrEx>
          <w:tblCellMar>
            <w:top w:w="0" w:type="dxa"/>
            <w:bottom w:w="0" w:type="dxa"/>
          </w:tblCellMar>
        </w:tblPrEx>
        <w:tc>
          <w:tcPr>
            <w:tcW w:w="1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55283133" w14:textId="77777777" w:rsidR="006E1E6B" w:rsidRDefault="00000000">
            <w:r>
              <w:rPr>
                <w:sz w:val="20"/>
                <w:szCs w:val="20"/>
              </w:rPr>
              <w:t>D4</w:t>
            </w:r>
          </w:p>
        </w:tc>
        <w:tc>
          <w:tcPr>
            <w:tcW w:w="35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01F44334" w14:textId="77777777" w:rsidR="006E1E6B" w:rsidRDefault="00000000">
            <w:r>
              <w:rPr>
                <w:sz w:val="20"/>
                <w:szCs w:val="20"/>
              </w:rPr>
              <w:t>Cohere exceeds latency benchmark</w:t>
            </w:r>
          </w:p>
        </w:tc>
        <w:tc>
          <w:tcPr>
            <w:tcW w:w="4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12C2D4EB" w14:textId="77777777" w:rsidR="006E1E6B" w:rsidRDefault="00000000">
            <w:r>
              <w:rPr>
                <w:sz w:val="20"/>
                <w:szCs w:val="20"/>
              </w:rPr>
              <w:t xml:space="preserve">D5: But Cohere has the highest governance floor. D6: Latency </w:t>
            </w:r>
            <w:proofErr w:type="spellStart"/>
            <w:r>
              <w:rPr>
                <w:sz w:val="20"/>
                <w:szCs w:val="20"/>
              </w:rPr>
              <w:t>tradeoff</w:t>
            </w:r>
            <w:proofErr w:type="spellEnd"/>
            <w:r>
              <w:rPr>
                <w:sz w:val="20"/>
                <w:szCs w:val="20"/>
              </w:rPr>
              <w:t xml:space="preserve"> is acceptable for batch reporting.</w:t>
            </w:r>
          </w:p>
        </w:tc>
      </w:tr>
      <w:tr w:rsidR="006E1E6B" w14:paraId="766F21D6" w14:textId="77777777">
        <w:tblPrEx>
          <w:tblCellMar>
            <w:top w:w="0" w:type="dxa"/>
            <w:bottom w:w="0" w:type="dxa"/>
          </w:tblCellMar>
        </w:tblPrEx>
        <w:tc>
          <w:tcPr>
            <w:tcW w:w="1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59D01556" w14:textId="77777777" w:rsidR="006E1E6B" w:rsidRDefault="00000000">
            <w:r>
              <w:rPr>
                <w:sz w:val="20"/>
                <w:szCs w:val="20"/>
              </w:rPr>
              <w:t>D5</w:t>
            </w:r>
          </w:p>
        </w:tc>
        <w:tc>
          <w:tcPr>
            <w:tcW w:w="35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1ECF6D85" w14:textId="77777777" w:rsidR="006E1E6B" w:rsidRDefault="00000000">
            <w:r>
              <w:rPr>
                <w:sz w:val="20"/>
                <w:szCs w:val="20"/>
              </w:rPr>
              <w:t>50% misallocation rate</w:t>
            </w:r>
          </w:p>
        </w:tc>
        <w:tc>
          <w:tcPr>
            <w:tcW w:w="4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16A942AA" w14:textId="77777777" w:rsidR="006E1E6B" w:rsidRDefault="00000000">
            <w:r>
              <w:rPr>
                <w:sz w:val="20"/>
                <w:szCs w:val="20"/>
              </w:rPr>
              <w:t>D1: Drives $2.67 cost waste. D6: Single highest-priority action item.</w:t>
            </w:r>
          </w:p>
        </w:tc>
      </w:tr>
      <w:tr w:rsidR="006E1E6B" w14:paraId="2EACBBE6" w14:textId="77777777">
        <w:tblPrEx>
          <w:tblCellMar>
            <w:top w:w="0" w:type="dxa"/>
            <w:bottom w:w="0" w:type="dxa"/>
          </w:tblCellMar>
        </w:tblPrEx>
        <w:tc>
          <w:tcPr>
            <w:tcW w:w="1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207203C8" w14:textId="77777777" w:rsidR="006E1E6B" w:rsidRDefault="00000000">
            <w:r>
              <w:rPr>
                <w:sz w:val="20"/>
                <w:szCs w:val="20"/>
              </w:rPr>
              <w:t>D6</w:t>
            </w:r>
          </w:p>
        </w:tc>
        <w:tc>
          <w:tcPr>
            <w:tcW w:w="35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5107DF01" w14:textId="77777777" w:rsidR="006E1E6B" w:rsidRDefault="00000000">
            <w:r>
              <w:rPr>
                <w:sz w:val="20"/>
                <w:szCs w:val="20"/>
              </w:rPr>
              <w:t>OpenAI is best overall provider</w:t>
            </w:r>
          </w:p>
        </w:tc>
        <w:tc>
          <w:tcPr>
            <w:tcW w:w="4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360310EA" w14:textId="77777777" w:rsidR="006E1E6B" w:rsidRDefault="00000000">
            <w:r>
              <w:rPr>
                <w:sz w:val="20"/>
                <w:szCs w:val="20"/>
              </w:rPr>
              <w:t>D1: Consistent across workloads. D3: Mid-range cost. D4: 771ms latency. D5: Moderate hallucination risk.</w:t>
            </w:r>
          </w:p>
        </w:tc>
      </w:tr>
    </w:tbl>
    <w:p w14:paraId="33B126B2" w14:textId="77777777" w:rsidR="006E1E6B" w:rsidRDefault="006E1E6B">
      <w:pPr>
        <w:spacing w:before="120"/>
      </w:pPr>
    </w:p>
    <w:p w14:paraId="2E2640B9" w14:textId="77777777" w:rsidR="006E1E6B" w:rsidRDefault="00000000">
      <w:pPr>
        <w:pStyle w:val="Heading1"/>
        <w:spacing w:before="340" w:after="120"/>
      </w:pPr>
      <w:r>
        <w:rPr>
          <w:b/>
          <w:bCs/>
          <w:color w:val="1B3A6B"/>
          <w:sz w:val="28"/>
          <w:szCs w:val="28"/>
        </w:rPr>
        <w:t>11. Action Plan</w:t>
      </w:r>
    </w:p>
    <w:p w14:paraId="0C8DCCAE" w14:textId="77777777" w:rsidR="006E1E6B" w:rsidRDefault="00000000">
      <w:pPr>
        <w:spacing w:before="80" w:after="120" w:line="276" w:lineRule="auto"/>
        <w:jc w:val="both"/>
      </w:pPr>
      <w:r>
        <w:t>Five actions in priority order. The first two are immediate — they eliminate active risk and recoverable waste. The next two are short-term standardization decisions. The fifth is an ongoing governance monitoring task.</w:t>
      </w:r>
    </w:p>
    <w:p w14:paraId="36F1F006" w14:textId="77777777" w:rsidR="006E1E6B" w:rsidRDefault="006E1E6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600"/>
        <w:gridCol w:w="2360"/>
        <w:gridCol w:w="3600"/>
      </w:tblGrid>
      <w:tr w:rsidR="006E1E6B" w14:paraId="66C5012D" w14:textId="77777777">
        <w:tblPrEx>
          <w:tblCellMar>
            <w:top w:w="0" w:type="dxa"/>
            <w:bottom w:w="0" w:type="dxa"/>
          </w:tblCellMar>
        </w:tblPrEx>
        <w:tc>
          <w:tcPr>
            <w:tcW w:w="8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7A91F496" w14:textId="77777777" w:rsidR="006E1E6B" w:rsidRDefault="00000000">
            <w:r>
              <w:rPr>
                <w:b/>
                <w:bCs/>
                <w:color w:val="FFFFFF"/>
                <w:sz w:val="20"/>
                <w:szCs w:val="20"/>
              </w:rPr>
              <w:t>#</w:t>
            </w:r>
          </w:p>
        </w:tc>
        <w:tc>
          <w:tcPr>
            <w:tcW w:w="26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4C611999" w14:textId="77777777" w:rsidR="006E1E6B" w:rsidRDefault="00000000">
            <w:r>
              <w:rPr>
                <w:b/>
                <w:bCs/>
                <w:color w:val="FFFFFF"/>
                <w:sz w:val="20"/>
                <w:szCs w:val="20"/>
              </w:rPr>
              <w:t>Action</w:t>
            </w:r>
          </w:p>
        </w:tc>
        <w:tc>
          <w:tcPr>
            <w:tcW w:w="23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441FED34" w14:textId="77777777" w:rsidR="006E1E6B" w:rsidRDefault="00000000">
            <w:r>
              <w:rPr>
                <w:b/>
                <w:bCs/>
                <w:color w:val="FFFFFF"/>
                <w:sz w:val="20"/>
                <w:szCs w:val="20"/>
              </w:rPr>
              <w:t>Priority</w:t>
            </w:r>
          </w:p>
        </w:tc>
        <w:tc>
          <w:tcPr>
            <w:tcW w:w="36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17DBCFF1" w14:textId="77777777" w:rsidR="006E1E6B" w:rsidRDefault="00000000">
            <w:r>
              <w:rPr>
                <w:b/>
                <w:bCs/>
                <w:color w:val="FFFFFF"/>
                <w:sz w:val="20"/>
                <w:szCs w:val="20"/>
              </w:rPr>
              <w:t>Expected Impact</w:t>
            </w:r>
          </w:p>
        </w:tc>
      </w:tr>
      <w:tr w:rsidR="006E1E6B" w14:paraId="7549E51D" w14:textId="77777777">
        <w:tblPrEx>
          <w:tblCellMar>
            <w:top w:w="0" w:type="dxa"/>
            <w:bottom w:w="0" w:type="dxa"/>
          </w:tblCellMar>
        </w:tblPrEx>
        <w:tc>
          <w:tcPr>
            <w:tcW w:w="8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2ECB1721" w14:textId="77777777" w:rsidR="006E1E6B" w:rsidRDefault="00000000">
            <w:r>
              <w:rPr>
                <w:sz w:val="20"/>
                <w:szCs w:val="20"/>
              </w:rPr>
              <w:t>1</w:t>
            </w:r>
          </w:p>
        </w:tc>
        <w:tc>
          <w:tcPr>
            <w:tcW w:w="26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40432986" w14:textId="77777777" w:rsidR="006E1E6B" w:rsidRDefault="00000000">
            <w:r>
              <w:rPr>
                <w:sz w:val="20"/>
                <w:szCs w:val="20"/>
              </w:rPr>
              <w:t>Enforce tier-workload governance policy</w:t>
            </w:r>
          </w:p>
        </w:tc>
        <w:tc>
          <w:tcPr>
            <w:tcW w:w="23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6B9CE008" w14:textId="77777777" w:rsidR="006E1E6B" w:rsidRDefault="00000000">
            <w:r>
              <w:rPr>
                <w:sz w:val="20"/>
                <w:szCs w:val="20"/>
              </w:rPr>
              <w:t>Immediate</w:t>
            </w:r>
          </w:p>
        </w:tc>
        <w:tc>
          <w:tcPr>
            <w:tcW w:w="36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7C4B7163" w14:textId="77777777" w:rsidR="006E1E6B" w:rsidRDefault="00000000">
            <w:r>
              <w:rPr>
                <w:sz w:val="20"/>
                <w:szCs w:val="20"/>
              </w:rPr>
              <w:t>Eliminates 50% misallocation rate. Removes $2.67 identifiable cost waste. Closes governance quality gap.</w:t>
            </w:r>
          </w:p>
        </w:tc>
      </w:tr>
      <w:tr w:rsidR="006E1E6B" w14:paraId="6C20D66A" w14:textId="77777777">
        <w:tblPrEx>
          <w:tblCellMar>
            <w:top w:w="0" w:type="dxa"/>
            <w:bottom w:w="0" w:type="dxa"/>
          </w:tblCellMar>
        </w:tblPrEx>
        <w:tc>
          <w:tcPr>
            <w:tcW w:w="8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2EE77702" w14:textId="77777777" w:rsidR="006E1E6B" w:rsidRDefault="00000000">
            <w:r>
              <w:rPr>
                <w:sz w:val="20"/>
                <w:szCs w:val="20"/>
              </w:rPr>
              <w:t>2</w:t>
            </w:r>
          </w:p>
        </w:tc>
        <w:tc>
          <w:tcPr>
            <w:tcW w:w="26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00CD49BE" w14:textId="77777777" w:rsidR="006E1E6B" w:rsidRDefault="00000000">
            <w:r>
              <w:rPr>
                <w:sz w:val="20"/>
                <w:szCs w:val="20"/>
              </w:rPr>
              <w:t xml:space="preserve">Block Mistral from </w:t>
            </w:r>
            <w:proofErr w:type="spellStart"/>
            <w:r>
              <w:rPr>
                <w:sz w:val="20"/>
                <w:szCs w:val="20"/>
              </w:rPr>
              <w:t>compliance_grade</w:t>
            </w:r>
            <w:proofErr w:type="spellEnd"/>
            <w:r>
              <w:rPr>
                <w:sz w:val="20"/>
                <w:szCs w:val="20"/>
              </w:rPr>
              <w:t xml:space="preserve"> workloads</w:t>
            </w:r>
          </w:p>
        </w:tc>
        <w:tc>
          <w:tcPr>
            <w:tcW w:w="23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5E92B279" w14:textId="77777777" w:rsidR="006E1E6B" w:rsidRDefault="00000000">
            <w:r>
              <w:rPr>
                <w:sz w:val="20"/>
                <w:szCs w:val="20"/>
              </w:rPr>
              <w:t>Immediate</w:t>
            </w:r>
          </w:p>
        </w:tc>
        <w:tc>
          <w:tcPr>
            <w:tcW w:w="36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3CD5AB7E" w14:textId="77777777" w:rsidR="006E1E6B" w:rsidRDefault="00000000">
            <w:r>
              <w:rPr>
                <w:sz w:val="20"/>
                <w:szCs w:val="20"/>
              </w:rPr>
              <w:t>Eliminates hallucination risk 18.9 from regulated reports. Prevents potential regulatory exposure.</w:t>
            </w:r>
          </w:p>
        </w:tc>
      </w:tr>
      <w:tr w:rsidR="006E1E6B" w14:paraId="3C41A213" w14:textId="77777777">
        <w:tblPrEx>
          <w:tblCellMar>
            <w:top w:w="0" w:type="dxa"/>
            <w:bottom w:w="0" w:type="dxa"/>
          </w:tblCellMar>
        </w:tblPrEx>
        <w:tc>
          <w:tcPr>
            <w:tcW w:w="8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42CE91F3" w14:textId="77777777" w:rsidR="006E1E6B" w:rsidRDefault="00000000">
            <w:r>
              <w:rPr>
                <w:sz w:val="20"/>
                <w:szCs w:val="20"/>
              </w:rPr>
              <w:t>3</w:t>
            </w:r>
          </w:p>
        </w:tc>
        <w:tc>
          <w:tcPr>
            <w:tcW w:w="26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09C1F16B" w14:textId="77777777" w:rsidR="006E1E6B" w:rsidRDefault="00000000">
            <w:r>
              <w:rPr>
                <w:sz w:val="20"/>
                <w:szCs w:val="20"/>
              </w:rPr>
              <w:t>Standardize Cohere or Anthropic for compliance</w:t>
            </w:r>
          </w:p>
        </w:tc>
        <w:tc>
          <w:tcPr>
            <w:tcW w:w="23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70575D0D" w14:textId="77777777" w:rsidR="006E1E6B" w:rsidRDefault="00000000">
            <w:r>
              <w:rPr>
                <w:sz w:val="20"/>
                <w:szCs w:val="20"/>
              </w:rPr>
              <w:t>Short-term</w:t>
            </w:r>
          </w:p>
        </w:tc>
        <w:tc>
          <w:tcPr>
            <w:tcW w:w="36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6299AAFD" w14:textId="77777777" w:rsidR="006E1E6B" w:rsidRDefault="00000000">
            <w:r>
              <w:rPr>
                <w:sz w:val="20"/>
                <w:szCs w:val="20"/>
              </w:rPr>
              <w:t>Cohere: highest governance quality. Anthropic: better latency at 944ms. Choose based on SLA requirements.</w:t>
            </w:r>
          </w:p>
        </w:tc>
      </w:tr>
      <w:tr w:rsidR="006E1E6B" w14:paraId="53BC9263" w14:textId="77777777">
        <w:tblPrEx>
          <w:tblCellMar>
            <w:top w:w="0" w:type="dxa"/>
            <w:bottom w:w="0" w:type="dxa"/>
          </w:tblCellMar>
        </w:tblPrEx>
        <w:tc>
          <w:tcPr>
            <w:tcW w:w="8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3CF3778A" w14:textId="77777777" w:rsidR="006E1E6B" w:rsidRDefault="00000000">
            <w:r>
              <w:rPr>
                <w:sz w:val="20"/>
                <w:szCs w:val="20"/>
              </w:rPr>
              <w:t>4</w:t>
            </w:r>
          </w:p>
        </w:tc>
        <w:tc>
          <w:tcPr>
            <w:tcW w:w="26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633DAB4B" w14:textId="77777777" w:rsidR="006E1E6B" w:rsidRDefault="00000000">
            <w:r>
              <w:rPr>
                <w:sz w:val="20"/>
                <w:szCs w:val="20"/>
              </w:rPr>
              <w:t>Use Google or Mistral for exploratory workloads</w:t>
            </w:r>
          </w:p>
        </w:tc>
        <w:tc>
          <w:tcPr>
            <w:tcW w:w="23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4FE144FF" w14:textId="77777777" w:rsidR="006E1E6B" w:rsidRDefault="00000000">
            <w:r>
              <w:rPr>
                <w:sz w:val="20"/>
                <w:szCs w:val="20"/>
              </w:rPr>
              <w:t>Short-term</w:t>
            </w:r>
          </w:p>
        </w:tc>
        <w:tc>
          <w:tcPr>
            <w:tcW w:w="36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1020C1EE" w14:textId="77777777" w:rsidR="006E1E6B" w:rsidRDefault="00000000">
            <w:r>
              <w:rPr>
                <w:sz w:val="20"/>
                <w:szCs w:val="20"/>
              </w:rPr>
              <w:t>Reduces exploratory cost significantly. Fast response. Quality adequate for low-stakes discovery queries.</w:t>
            </w:r>
          </w:p>
        </w:tc>
      </w:tr>
      <w:tr w:rsidR="006E1E6B" w14:paraId="514CB2C7" w14:textId="77777777">
        <w:tblPrEx>
          <w:tblCellMar>
            <w:top w:w="0" w:type="dxa"/>
            <w:bottom w:w="0" w:type="dxa"/>
          </w:tblCellMar>
        </w:tblPrEx>
        <w:tc>
          <w:tcPr>
            <w:tcW w:w="8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0448D262" w14:textId="77777777" w:rsidR="006E1E6B" w:rsidRDefault="00000000">
            <w:r>
              <w:rPr>
                <w:sz w:val="20"/>
                <w:szCs w:val="20"/>
              </w:rPr>
              <w:t>5</w:t>
            </w:r>
          </w:p>
        </w:tc>
        <w:tc>
          <w:tcPr>
            <w:tcW w:w="26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78BBBB16" w14:textId="77777777" w:rsidR="006E1E6B" w:rsidRDefault="00000000">
            <w:r>
              <w:rPr>
                <w:sz w:val="20"/>
                <w:szCs w:val="20"/>
              </w:rPr>
              <w:t>Monitor Mistral hallucination scores quarterly</w:t>
            </w:r>
          </w:p>
        </w:tc>
        <w:tc>
          <w:tcPr>
            <w:tcW w:w="23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550531C1" w14:textId="77777777" w:rsidR="006E1E6B" w:rsidRDefault="00000000">
            <w:r>
              <w:rPr>
                <w:sz w:val="20"/>
                <w:szCs w:val="20"/>
              </w:rPr>
              <w:t>Ongoing</w:t>
            </w:r>
          </w:p>
        </w:tc>
        <w:tc>
          <w:tcPr>
            <w:tcW w:w="36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43528F35" w14:textId="77777777" w:rsidR="006E1E6B" w:rsidRDefault="00000000">
            <w:r>
              <w:rPr>
                <w:sz w:val="20"/>
                <w:szCs w:val="20"/>
              </w:rPr>
              <w:t>If hallucination score improves below 10, Mistral becomes eligible for analytical workloads.</w:t>
            </w:r>
          </w:p>
        </w:tc>
      </w:tr>
    </w:tbl>
    <w:p w14:paraId="067363EC" w14:textId="77777777" w:rsidR="006E1E6B" w:rsidRDefault="006E1E6B">
      <w:pPr>
        <w:spacing w:before="120"/>
      </w:pPr>
    </w:p>
    <w:p w14:paraId="13CD103B" w14:textId="77777777" w:rsidR="006E1E6B" w:rsidRDefault="00000000">
      <w:pPr>
        <w:pStyle w:val="Heading1"/>
        <w:spacing w:before="340" w:after="120"/>
      </w:pPr>
      <w:r>
        <w:rPr>
          <w:b/>
          <w:bCs/>
          <w:color w:val="1B3A6B"/>
          <w:sz w:val="28"/>
          <w:szCs w:val="28"/>
        </w:rPr>
        <w:t>12. What This Project Proves</w:t>
      </w:r>
    </w:p>
    <w:p w14:paraId="3CF46374" w14:textId="77777777" w:rsidR="006E1E6B" w:rsidRDefault="00000000">
      <w:pPr>
        <w:spacing w:before="80" w:after="120" w:line="276" w:lineRule="auto"/>
        <w:jc w:val="both"/>
      </w:pPr>
      <w:r>
        <w:t>This project was not built to display data. It was built to answer a real business question that every organization deploying LLMs at scale is asking right now — are we spending on the right models for the right jobs, and can we trust what those models produce?</w:t>
      </w:r>
    </w:p>
    <w:p w14:paraId="06981F94" w14:textId="77777777" w:rsidR="006E1E6B" w:rsidRDefault="006E1E6B">
      <w:pPr>
        <w:spacing w:before="80"/>
      </w:pPr>
    </w:p>
    <w:p w14:paraId="15001A5B" w14:textId="77777777" w:rsidR="006E1E6B" w:rsidRDefault="00000000">
      <w:pPr>
        <w:pStyle w:val="ListParagraph"/>
        <w:numPr>
          <w:ilvl w:val="0"/>
          <w:numId w:val="2"/>
        </w:numPr>
        <w:spacing w:before="60" w:after="80" w:line="260" w:lineRule="auto"/>
      </w:pPr>
      <w:r>
        <w:rPr>
          <w:b/>
          <w:bCs/>
          <w:color w:val="1B3A6B"/>
        </w:rPr>
        <w:t>SQL-first architecture works</w:t>
      </w:r>
      <w:r>
        <w:t xml:space="preserve"> — All business logic in MySQL, zero computation in Power BI, fully reproducible pipeline. The warehouse can be rebuilt from scratch and produce identical output.</w:t>
      </w:r>
    </w:p>
    <w:p w14:paraId="3FFFC144" w14:textId="77777777" w:rsidR="006E1E6B" w:rsidRDefault="00000000">
      <w:pPr>
        <w:pStyle w:val="ListParagraph"/>
        <w:numPr>
          <w:ilvl w:val="0"/>
          <w:numId w:val="2"/>
        </w:numPr>
        <w:spacing w:before="60" w:after="80" w:line="260" w:lineRule="auto"/>
      </w:pPr>
      <w:r>
        <w:rPr>
          <w:b/>
          <w:bCs/>
          <w:color w:val="1B3A6B"/>
        </w:rPr>
        <w:t>Governance can be measured</w:t>
      </w:r>
      <w:r>
        <w:t xml:space="preserve"> — Hallucination risk, composite scoring, misallocation detection, cost waste — all quantified and traceable to their SQL source.</w:t>
      </w:r>
    </w:p>
    <w:p w14:paraId="51A62DFC" w14:textId="77777777" w:rsidR="006E1E6B" w:rsidRDefault="00000000">
      <w:pPr>
        <w:pStyle w:val="ListParagraph"/>
        <w:numPr>
          <w:ilvl w:val="0"/>
          <w:numId w:val="2"/>
        </w:numPr>
        <w:spacing w:before="60" w:after="80" w:line="260" w:lineRule="auto"/>
      </w:pPr>
      <w:r>
        <w:rPr>
          <w:b/>
          <w:bCs/>
          <w:color w:val="1B3A6B"/>
        </w:rPr>
        <w:t>Cost and quality are separate dimensions</w:t>
      </w:r>
      <w:r>
        <w:t xml:space="preserve"> — Cohere is the most expensive and the highest quality. Mistral is the cheapest and the highest risk. The data proves that price does not predict governance quality.</w:t>
      </w:r>
    </w:p>
    <w:p w14:paraId="6F3F060B" w14:textId="77777777" w:rsidR="006E1E6B" w:rsidRDefault="00000000">
      <w:pPr>
        <w:pStyle w:val="ListParagraph"/>
        <w:numPr>
          <w:ilvl w:val="0"/>
          <w:numId w:val="2"/>
        </w:numPr>
        <w:spacing w:before="60" w:after="80" w:line="260" w:lineRule="auto"/>
      </w:pPr>
      <w:r>
        <w:rPr>
          <w:b/>
          <w:bCs/>
          <w:color w:val="1B3A6B"/>
        </w:rPr>
        <w:t>Misallocation is the root problem</w:t>
      </w:r>
      <w:r>
        <w:t xml:space="preserve"> — Not the vendor. Not the pricing. The governance policy. The single highest-impact action costs nothing to implement — enforce tier assignment and misallocation drops to zero.</w:t>
      </w:r>
    </w:p>
    <w:p w14:paraId="1BCEBDC9" w14:textId="4F0F1FB7" w:rsidR="006E1E6B" w:rsidRDefault="00000000" w:rsidP="00AF2503">
      <w:pPr>
        <w:pStyle w:val="ListParagraph"/>
        <w:numPr>
          <w:ilvl w:val="0"/>
          <w:numId w:val="2"/>
        </w:numPr>
        <w:spacing w:before="60" w:after="80" w:line="260" w:lineRule="auto"/>
      </w:pPr>
      <w:r>
        <w:rPr>
          <w:b/>
          <w:bCs/>
          <w:color w:val="1B3A6B"/>
        </w:rPr>
        <w:t>The framework is extensible</w:t>
      </w:r>
      <w:r>
        <w:t xml:space="preserve"> — Add a new provider by inserting one row into </w:t>
      </w:r>
      <w:proofErr w:type="spellStart"/>
      <w:r>
        <w:t>model_versions</w:t>
      </w:r>
      <w:proofErr w:type="spellEnd"/>
      <w:r>
        <w:t xml:space="preserve">. Add a new workload by inserting one row into </w:t>
      </w:r>
      <w:proofErr w:type="spellStart"/>
      <w:r>
        <w:t>prompt_versions</w:t>
      </w:r>
      <w:proofErr w:type="spellEnd"/>
      <w:r>
        <w:t>. The entire benchmarking layer adapts automatically.</w:t>
      </w:r>
    </w:p>
    <w:sectPr w:rsidR="006E1E6B">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0D6AF" w14:textId="77777777" w:rsidR="003F74D5" w:rsidRDefault="003F74D5">
      <w:r>
        <w:separator/>
      </w:r>
    </w:p>
  </w:endnote>
  <w:endnote w:type="continuationSeparator" w:id="0">
    <w:p w14:paraId="414F04CE" w14:textId="77777777" w:rsidR="003F74D5" w:rsidRDefault="003F7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0E8EA" w14:textId="178684B9" w:rsidR="006E1E6B" w:rsidRPr="00AF2503" w:rsidRDefault="00000000" w:rsidP="00AF2503">
    <w:pPr>
      <w:pBdr>
        <w:top w:val="single" w:sz="4" w:space="1" w:color="1B3A6B"/>
      </w:pBdr>
      <w:spacing w:before="120"/>
      <w:jc w:val="center"/>
      <w:rPr>
        <w:color w:val="888888"/>
        <w:sz w:val="16"/>
        <w:szCs w:val="16"/>
      </w:rPr>
    </w:pPr>
    <w:r>
      <w:rPr>
        <w:color w:val="888888"/>
        <w:sz w:val="16"/>
        <w:szCs w:val="16"/>
      </w:rPr>
      <w:t xml:space="preserve">Portfolio </w:t>
    </w:r>
    <w:proofErr w:type="gramStart"/>
    <w:r>
      <w:rPr>
        <w:color w:val="888888"/>
        <w:sz w:val="16"/>
        <w:szCs w:val="16"/>
      </w:rPr>
      <w:t>Project  —</w:t>
    </w:r>
    <w:proofErr w:type="gramEnd"/>
    <w:r>
      <w:rPr>
        <w:color w:val="888888"/>
        <w:sz w:val="16"/>
        <w:szCs w:val="16"/>
      </w:rPr>
      <w:t xml:space="preserve">  Analytics Engineering &amp; Data Analysis    |  </w:t>
    </w:r>
    <w:r>
      <w:fldChar w:fldCharType="begin"/>
    </w:r>
    <w:r>
      <w:instrText>PAGE</w:instrText>
    </w:r>
    <w:r>
      <w:fldChar w:fldCharType="separate"/>
    </w:r>
    <w:r w:rsidR="00AF25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CDFA3" w14:textId="77777777" w:rsidR="003F74D5" w:rsidRDefault="003F74D5">
      <w:r>
        <w:separator/>
      </w:r>
    </w:p>
  </w:footnote>
  <w:footnote w:type="continuationSeparator" w:id="0">
    <w:p w14:paraId="281CD41D" w14:textId="77777777" w:rsidR="003F74D5" w:rsidRDefault="003F74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0741" w14:textId="77777777" w:rsidR="006E1E6B" w:rsidRDefault="00000000">
    <w:pPr>
      <w:pBdr>
        <w:bottom w:val="single" w:sz="4" w:space="1" w:color="1B3A6B"/>
      </w:pBdr>
      <w:spacing w:after="120"/>
      <w:jc w:val="right"/>
    </w:pPr>
    <w:r>
      <w:rPr>
        <w:i/>
        <w:iCs/>
        <w:color w:val="2E5FA3"/>
        <w:sz w:val="18"/>
        <w:szCs w:val="18"/>
      </w:rPr>
      <w:t>LLM Governance &amp; Cost Benchmarking Framework</w:t>
    </w:r>
    <w:r>
      <w:rPr>
        <w:color w:val="888888"/>
        <w:sz w:val="18"/>
        <w:szCs w:val="18"/>
      </w:rPr>
      <w:t xml:space="preserve">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66AFC"/>
    <w:multiLevelType w:val="hybridMultilevel"/>
    <w:tmpl w:val="636EFDC2"/>
    <w:lvl w:ilvl="0" w:tplc="B4245836">
      <w:start w:val="1"/>
      <w:numFmt w:val="bullet"/>
      <w:lvlText w:val="●"/>
      <w:lvlJc w:val="left"/>
      <w:pPr>
        <w:ind w:left="720" w:hanging="360"/>
      </w:pPr>
    </w:lvl>
    <w:lvl w:ilvl="1" w:tplc="648CCFE2">
      <w:start w:val="1"/>
      <w:numFmt w:val="bullet"/>
      <w:lvlText w:val="○"/>
      <w:lvlJc w:val="left"/>
      <w:pPr>
        <w:ind w:left="1440" w:hanging="360"/>
      </w:pPr>
    </w:lvl>
    <w:lvl w:ilvl="2" w:tplc="A9000408">
      <w:start w:val="1"/>
      <w:numFmt w:val="bullet"/>
      <w:lvlText w:val="■"/>
      <w:lvlJc w:val="left"/>
      <w:pPr>
        <w:ind w:left="2160" w:hanging="360"/>
      </w:pPr>
    </w:lvl>
    <w:lvl w:ilvl="3" w:tplc="E60E5556">
      <w:start w:val="1"/>
      <w:numFmt w:val="bullet"/>
      <w:lvlText w:val="●"/>
      <w:lvlJc w:val="left"/>
      <w:pPr>
        <w:ind w:left="2880" w:hanging="360"/>
      </w:pPr>
    </w:lvl>
    <w:lvl w:ilvl="4" w:tplc="3A345AA8">
      <w:start w:val="1"/>
      <w:numFmt w:val="bullet"/>
      <w:lvlText w:val="○"/>
      <w:lvlJc w:val="left"/>
      <w:pPr>
        <w:ind w:left="3600" w:hanging="360"/>
      </w:pPr>
    </w:lvl>
    <w:lvl w:ilvl="5" w:tplc="4BFC5B16">
      <w:start w:val="1"/>
      <w:numFmt w:val="bullet"/>
      <w:lvlText w:val="■"/>
      <w:lvlJc w:val="left"/>
      <w:pPr>
        <w:ind w:left="4320" w:hanging="360"/>
      </w:pPr>
    </w:lvl>
    <w:lvl w:ilvl="6" w:tplc="ADDC5F80">
      <w:start w:val="1"/>
      <w:numFmt w:val="bullet"/>
      <w:lvlText w:val="●"/>
      <w:lvlJc w:val="left"/>
      <w:pPr>
        <w:ind w:left="5040" w:hanging="360"/>
      </w:pPr>
    </w:lvl>
    <w:lvl w:ilvl="7" w:tplc="34E832EA">
      <w:start w:val="1"/>
      <w:numFmt w:val="bullet"/>
      <w:lvlText w:val="●"/>
      <w:lvlJc w:val="left"/>
      <w:pPr>
        <w:ind w:left="5760" w:hanging="360"/>
      </w:pPr>
    </w:lvl>
    <w:lvl w:ilvl="8" w:tplc="8356EE5C">
      <w:start w:val="1"/>
      <w:numFmt w:val="bullet"/>
      <w:lvlText w:val="●"/>
      <w:lvlJc w:val="left"/>
      <w:pPr>
        <w:ind w:left="6480" w:hanging="360"/>
      </w:pPr>
    </w:lvl>
  </w:abstractNum>
  <w:abstractNum w:abstractNumId="1" w15:restartNumberingAfterBreak="0">
    <w:nsid w:val="1D8B0B57"/>
    <w:multiLevelType w:val="hybridMultilevel"/>
    <w:tmpl w:val="540CCE68"/>
    <w:lvl w:ilvl="0" w:tplc="F7F4D6F2">
      <w:start w:val="1"/>
      <w:numFmt w:val="bullet"/>
      <w:lvlText w:val="•"/>
      <w:lvlJc w:val="left"/>
      <w:pPr>
        <w:ind w:left="720" w:hanging="360"/>
      </w:pPr>
    </w:lvl>
    <w:lvl w:ilvl="1" w:tplc="B7082B04">
      <w:numFmt w:val="decimal"/>
      <w:lvlText w:val=""/>
      <w:lvlJc w:val="left"/>
    </w:lvl>
    <w:lvl w:ilvl="2" w:tplc="AAB0B33A">
      <w:numFmt w:val="decimal"/>
      <w:lvlText w:val=""/>
      <w:lvlJc w:val="left"/>
    </w:lvl>
    <w:lvl w:ilvl="3" w:tplc="23EA3E48">
      <w:numFmt w:val="decimal"/>
      <w:lvlText w:val=""/>
      <w:lvlJc w:val="left"/>
    </w:lvl>
    <w:lvl w:ilvl="4" w:tplc="CD04CAA0">
      <w:numFmt w:val="decimal"/>
      <w:lvlText w:val=""/>
      <w:lvlJc w:val="left"/>
    </w:lvl>
    <w:lvl w:ilvl="5" w:tplc="DCCE7AD8">
      <w:numFmt w:val="decimal"/>
      <w:lvlText w:val=""/>
      <w:lvlJc w:val="left"/>
    </w:lvl>
    <w:lvl w:ilvl="6" w:tplc="2B2A77BE">
      <w:numFmt w:val="decimal"/>
      <w:lvlText w:val=""/>
      <w:lvlJc w:val="left"/>
    </w:lvl>
    <w:lvl w:ilvl="7" w:tplc="56289CD2">
      <w:numFmt w:val="decimal"/>
      <w:lvlText w:val=""/>
      <w:lvlJc w:val="left"/>
    </w:lvl>
    <w:lvl w:ilvl="8" w:tplc="C1FEC5C2">
      <w:numFmt w:val="decimal"/>
      <w:lvlText w:val=""/>
      <w:lvlJc w:val="left"/>
    </w:lvl>
  </w:abstractNum>
  <w:num w:numId="1" w16cid:durableId="594290206">
    <w:abstractNumId w:val="0"/>
    <w:lvlOverride w:ilvl="0">
      <w:startOverride w:val="1"/>
    </w:lvlOverride>
  </w:num>
  <w:num w:numId="2" w16cid:durableId="18439291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E6B"/>
    <w:rsid w:val="003F74D5"/>
    <w:rsid w:val="004251CE"/>
    <w:rsid w:val="006E1E6B"/>
    <w:rsid w:val="00AF25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A3272"/>
  <w15:docId w15:val="{53A8D52F-2138-4A7F-A513-9385C6137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2C2C"/>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F2503"/>
    <w:pPr>
      <w:tabs>
        <w:tab w:val="center" w:pos="4513"/>
        <w:tab w:val="right" w:pos="9026"/>
      </w:tabs>
    </w:pPr>
  </w:style>
  <w:style w:type="character" w:customStyle="1" w:styleId="HeaderChar">
    <w:name w:val="Header Char"/>
    <w:basedOn w:val="DefaultParagraphFont"/>
    <w:link w:val="Header"/>
    <w:uiPriority w:val="99"/>
    <w:rsid w:val="00AF2503"/>
  </w:style>
  <w:style w:type="paragraph" w:styleId="Footer">
    <w:name w:val="footer"/>
    <w:basedOn w:val="Normal"/>
    <w:link w:val="FooterChar"/>
    <w:uiPriority w:val="99"/>
    <w:unhideWhenUsed/>
    <w:rsid w:val="00AF2503"/>
    <w:pPr>
      <w:tabs>
        <w:tab w:val="center" w:pos="4513"/>
        <w:tab w:val="right" w:pos="9026"/>
      </w:tabs>
    </w:pPr>
  </w:style>
  <w:style w:type="character" w:customStyle="1" w:styleId="FooterChar">
    <w:name w:val="Footer Char"/>
    <w:basedOn w:val="DefaultParagraphFont"/>
    <w:link w:val="Footer"/>
    <w:uiPriority w:val="99"/>
    <w:rsid w:val="00AF25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1744</Words>
  <Characters>9943</Characters>
  <Application>Microsoft Office Word</Application>
  <DocSecurity>0</DocSecurity>
  <Lines>82</Lines>
  <Paragraphs>23</Paragraphs>
  <ScaleCrop>false</ScaleCrop>
  <Company/>
  <LinksUpToDate>false</LinksUpToDate>
  <CharactersWithSpaces>11664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Shinde</cp:lastModifiedBy>
  <cp:revision>2</cp:revision>
  <dcterms:created xsi:type="dcterms:W3CDTF">2026-03-18T09:59:00Z</dcterms:created>
  <dcterms:modified xsi:type="dcterms:W3CDTF">2026-03-18T10:01:00Z</dcterms:modified>
</cp:coreProperties>
</file>