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ection"/>
      <w:bookmarkEnd w:id="21"/>
      <w:r>
        <w:t xml:space="preserve">-----</w:t>
      </w:r>
    </w:p>
    <w:p>
      <w:r>
        <w:t xml:space="preserve">Here, the authors use a database of population sizes over time to describe the relationship between population growth rate (</w:t>
      </w:r>
      <w:r>
        <w:rPr>
          <w:i/>
        </w:rPr>
        <w:t xml:space="preserve">pgr</w:t>
      </w:r>
      <w:r>
        <w:t xml:space="preserve">) and population density. Specifically, they iterated over a list of possible values for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in the equation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g</m:t>
        </m:r>
        <m:r>
          <m:rPr>
            <m:sty m:val="p"/>
          </m:rPr>
          <m:t>r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[</m:t>
        </m:r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/</m:t>
        </m:r>
        <m:r>
          <m:rPr>
            <m:sty m:val="p"/>
          </m:rPr>
          <m:t>K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θ</m:t>
            </m:r>
          </m:sup>
        </m:sSup>
        <m:r>
          <m:rPr>
            <m:sty m:val="p"/>
          </m:rPr>
          <m:t>]</m:t>
        </m:r>
      </m:oMath>
      <w:r>
        <w:t xml:space="preserve">. The authors find that most animals from all major taxonomic group tend to have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&lt;</m:t>
        </m:r>
        <m:r>
          <m:rPr>
            <m:sty m:val="p"/>
          </m:rPr>
          <m:t>1</m:t>
        </m:r>
      </m:oMath>
      <w:r>
        <w:t xml:space="preserve">: in other words, a concave relationship between</w:t>
      </w:r>
      <w:r>
        <w:t xml:space="preserve"> </w:t>
      </w:r>
      <w:r>
        <w:rPr>
          <w:i/>
        </w:rPr>
        <w:t xml:space="preserve">pgr</w:t>
      </w:r>
      <w:r>
        <w:t xml:space="preserve">, or a drastic in</w:t>
      </w:r>
      <w:r>
        <w:t xml:space="preserve"> </w:t>
      </w:r>
      <w:r>
        <w:rPr>
          <w:i/>
        </w:rPr>
        <w:t xml:space="preserve">pgr</w:t>
      </w:r>
      <w:r>
        <w:t xml:space="preserve"> </w:t>
      </w:r>
      <w:r>
        <w:t xml:space="preserve">with small increases in N when N is small. An implication of this result is that animal populations may tend to bigger than their carrying capacities more often than not.</w:t>
      </w:r>
    </w:p>
    <w:p>
      <w:pPr>
        <w:pStyle w:val="Compact"/>
        <w:numPr>
          <w:numId w:val="1001"/>
          <w:ilvl w:val="0"/>
        </w:numPr>
      </w:pPr>
      <w:r>
        <w:t xml:space="preserve">This is a great use of what seems to be a very useful resource for population dynamics research. The mismatch between the observation that life history and shape of</w:t>
      </w:r>
      <w:r>
        <w:t xml:space="preserve"> </w:t>
      </w:r>
      <w:r>
        <w:rPr>
          <w:i/>
        </w:rPr>
        <w:t xml:space="preserve">pgr</w:t>
      </w:r>
      <w:r>
        <w:t xml:space="preserve">-N relation are unrelated, and the colloquial expectation that large bodied animals tend to have a more convex relationship, shows how empirical observations can be used to test and refine our expectations of the natural world.</w:t>
      </w:r>
    </w:p>
    <w:p>
      <w:pPr>
        <w:numPr>
          <w:numId w:val="1001"/>
          <w:ilvl w:val="0"/>
        </w:numPr>
      </w:pPr>
      <w:r>
        <w:t xml:space="preserve">I appreciated the clear buildup of the dynamics equations - the impact of various values of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on the pgr-N relationship was well developed. On the other hand, it is not clear to me why we would expect the</w:t>
      </w:r>
      <w:r>
        <w:t xml:space="preserve"> </w:t>
      </w:r>
      <w:r>
        <w:rPr>
          <w:i/>
        </w:rPr>
        <w:t xml:space="preserve">pgr</w:t>
      </w:r>
      <w:r>
        <w:t xml:space="preserve">-N relationship to start at N=1 rather than N=0, as described in SOM, for all animals. I would expect the N at which</w:t>
      </w:r>
      <w:r>
        <w:t xml:space="preserve"> </w:t>
      </w:r>
      <w:r>
        <w:rPr>
          <w:i/>
        </w:rPr>
        <w:t xml:space="preserve">pgr</w:t>
      </w:r>
      <w:r>
        <w:t xml:space="preserve"> </w:t>
      </w:r>
      <w:r>
        <w:t xml:space="preserve">changes with N to depend on factors like animal size. If all N&gt;0 produce similar results, this might not be a big deal. On the topic of SOM, it is not clear to me that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n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/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is exactly the</w:t>
      </w:r>
      <w:r>
        <w:t xml:space="preserve"> </w:t>
      </w:r>
      <w:r>
        <w:rPr>
          <w:i/>
        </w:rPr>
        <w:t xml:space="preserve">pgr</w:t>
      </w:r>
      <w:r>
        <w:t xml:space="preserve"> </w:t>
      </w:r>
      <w:r>
        <w:t xml:space="preserve">as described in Equation 1.</w:t>
      </w:r>
    </w:p>
    <w:p>
      <w:pPr>
        <w:pStyle w:val="Compact"/>
        <w:numPr>
          <w:numId w:val="1001"/>
          <w:ilvl w:val="0"/>
        </w:numPr>
      </w:pPr>
      <w:r>
        <w:t xml:space="preserve">This analysis seems to be very sensitive to potential biases in the types of species included in the GPDD. I would have liked to see some discussion of any potential bias in the species list- for example, if they tend to be weedy or agricultural species, then extending it to wild species may not be appropriate. I am not too familiar with animal databases, but if we were working with plants here, then having a bias towards tractable annual species may muddle interpretations.</w:t>
      </w:r>
    </w:p>
    <w:p>
      <w:pPr>
        <w:pStyle w:val="Compact"/>
        <w:numPr>
          <w:numId w:val="1001"/>
          <w:ilvl w:val="0"/>
        </w:numPr>
      </w:pPr>
      <w:r>
        <w:t xml:space="preserve">Some discussion about other drivers of a concave</w:t>
      </w:r>
      <w:r>
        <w:t xml:space="preserve"> </w:t>
      </w:r>
      <w:r>
        <w:rPr>
          <w:i/>
        </w:rPr>
        <w:t xml:space="preserve">pgr</w:t>
      </w:r>
      <w:r>
        <w:t xml:space="preserve">-N relationship is warranted here. It is not clear to me why most animals would mechanistically have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&lt;</m:t>
        </m:r>
        <m:r>
          <m:rPr>
            <m:sty m:val="p"/>
          </m:rPr>
          <m:t>1</m:t>
        </m:r>
      </m:oMath>
      <w:r>
        <w:t xml:space="preserve">, and other drivers like time lags, which were here dismissed due to computational intractability may also contribute to the pattern.</w:t>
      </w:r>
    </w:p>
    <w:p>
      <w:pPr>
        <w:numPr>
          <w:numId w:val="1001"/>
          <w:ilvl w:val="0"/>
        </w:numPr>
      </w:pPr>
      <w:r>
        <w:t xml:space="preserve">I was a bit surprised that the authors chose to iterate over a list of possible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s rather than employ a Bayesian approach to estimate a value and confidence intervals. Perhaps I am biased by the many ABC exercises we did with Dr. Lohmueller, but it seems prudent to allow the parameter to vary randomly across the given range (-100 to 100, with a specified density function) and then subset to the estimates with a low error.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3b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f572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