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and Shiny web app 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r>
    </w:p>
    <w:p>
      <w:pPr>
        <w:pStyle w:val="Compact"/>
        <w:numPr>
          <w:ilvl w:val="0"/>
          <w:numId w:val="1"/>
        </w:numPr>
        <w:rPr/>
      </w:pPr>
      <w:r>
        <w:rPr/>
        <w:t>Department of Microbiology and Molecular Genetics, University of California – Los Angeles</w:t>
      </w:r>
    </w:p>
    <w:p>
      <w:pPr>
        <w:pStyle w:val="Compact"/>
        <w:numPr>
          <w:ilvl w:val="0"/>
          <w:numId w:val="1"/>
        </w:numPr>
        <w:rPr/>
      </w:pPr>
      <w:r>
        <w:rPr/>
        <w:t>Channel Islands National Park, National Park Service, Ventura, California</w:t>
      </w:r>
    </w:p>
    <w:p>
      <w:pPr>
        <w:pStyle w:val="FirstParagraph"/>
        <w:ind w:left="0" w:right="0" w:hanging="0"/>
        <w:rPr/>
      </w:pPr>
      <w:r>
        <w:rPr/>
        <w:t>(+) Corresponding Author</w:t>
      </w:r>
    </w:p>
    <w:p>
      <w:pPr>
        <w:pStyle w:val="Compact"/>
        <w:numPr>
          <w:ilvl w:val="0"/>
          <w:numId w:val="2"/>
        </w:numPr>
        <w:spacing w:lineRule="auto" w:line="240"/>
        <w:rPr/>
      </w:pPr>
      <w:r>
        <w:rPr/>
        <w:t xml:space="preserve">Email: </w:t>
      </w:r>
      <w:hyperlink r:id="rId2">
        <w:r>
          <w:rPr>
            <w:rStyle w:val="InternetLink"/>
          </w:rPr>
          <w:t>gkandlikar@ucla.edu</w:t>
        </w:r>
      </w:hyperlink>
    </w:p>
    <w:p>
      <w:pPr>
        <w:pStyle w:val="Compact"/>
        <w:numPr>
          <w:ilvl w:val="0"/>
          <w:numId w:val="2"/>
        </w:numPr>
        <w:spacing w:lineRule="auto" w:line="240"/>
        <w:rPr/>
      </w:pPr>
      <w:r>
        <w:rPr/>
        <w:t>Phone: (+1) 952-288-7351</w:t>
      </w:r>
    </w:p>
    <w:p>
      <w:pPr>
        <w:pStyle w:val="Compact"/>
        <w:numPr>
          <w:ilvl w:val="0"/>
          <w:numId w:val="2"/>
        </w:numPr>
        <w:spacing w:lineRule="auto" w:line="240"/>
        <w:rPr/>
      </w:pPr>
      <w:r>
        <w:rPr/>
        <w:t>Mailing Address: Dept. of Ecology &amp; Evolutionary Biology, 621 Charles E. Young Drive S., Los Angeles, CA 90095</w:t>
      </w:r>
    </w:p>
    <w:p>
      <w:pPr>
        <w:pStyle w:val="FirstParagraph"/>
        <w:ind w:left="0" w:right="0" w:hanging="0"/>
        <w:rPr/>
      </w:pPr>
      <w:r>
        <w:rPr>
          <w:b/>
        </w:rPr>
        <w:t>Keywords</w:t>
      </w:r>
      <w:r>
        <w:rPr/>
        <w:t>: environmental DNA, data visualization, citizen science, community science, shiny, metabarcoding, education, community ecology</w:t>
      </w:r>
      <w:r>
        <w:br w:type="page"/>
      </w:r>
    </w:p>
    <w:p>
      <w:pPr>
        <w:pStyle w:val="Heading2"/>
        <w:rPr/>
      </w:pPr>
      <w:bookmarkStart w:id="1" w:name="abstract"/>
      <w:bookmarkEnd w:id="1"/>
      <w:r>
        <w:rPr/>
        <w:t>Abstract</w:t>
      </w:r>
    </w:p>
    <w:p>
      <w:pPr>
        <w:pStyle w:val="FirstParagraph"/>
        <w:ind w:left="0" w:right="0" w:hanging="0"/>
        <w:rPr/>
      </w:pPr>
      <w:r>
        <w:rPr/>
        <w:t xml:space="preserve">Environmental DNA (eDNA) metabarcoding is becoming a core tool in ecology and conservation biology, and is being used in a growing number of education, biodiversity monitoring, and public outreach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eDNA results. Here we present the R package </w:t>
      </w:r>
      <w:r>
        <w:rPr>
          <w:rStyle w:val="VerbatimChar"/>
        </w:rPr>
        <w:t>ranacapa</w:t>
      </w:r>
      <w:r>
        <w:rPr/>
        <w:t xml:space="preserve">, at the core of which is a Shiny web 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r>
        <w:rPr>
          <w:rStyle w:val="VerbatimChar"/>
        </w:rPr>
        <w:t>ranacapa</w:t>
      </w:r>
      <w:r>
        <w:rPr/>
        <w:t xml:space="preserve"> to two groups of community partners engaging with eDNA metabarcoding results.</w:t>
      </w:r>
      <w:r>
        <w:br w:type="page"/>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(eDNA) metabarcoding,” is revolutionizing microbiology, ecology, and conservation research (Taberlet </w:t>
      </w:r>
      <w:r>
        <w:rPr>
          <w:i/>
        </w:rPr>
        <w:t>et al.</w:t>
      </w:r>
      <w:r>
        <w:rPr/>
        <w:t xml:space="preserve"> 2012; Deiner </w:t>
      </w:r>
      <w:r>
        <w:rPr>
          <w:i/>
        </w:rPr>
        <w:t>et al.</w:t>
      </w:r>
      <w:r>
        <w:rPr/>
        <w:t xml:space="preserve"> 2017). Sequencing of eDNA extracted from field-collected soil, water, or sediment samples can yield insight into a range of questions, from profiling the composition of ancient plant and animal communities (Pedersen </w:t>
      </w:r>
      <w:r>
        <w:rPr>
          <w:i/>
        </w:rPr>
        <w:t>et al.</w:t>
      </w:r>
      <w:r>
        <w:rPr/>
        <w:t xml:space="preserve"> 2014), to monitoring populations of rare or endangered species (Balasingham </w:t>
      </w:r>
      <w:r>
        <w:rPr>
          <w:i/>
        </w:rPr>
        <w:t>et al.</w:t>
      </w:r>
      <w:r>
        <w:rPr/>
        <w:t xml:space="preserve"> 2017). As the cost of eDNA metabarcoding declines and sample collection techniques become more streamlined (e.g. Thomas </w:t>
      </w:r>
      <w:r>
        <w:rPr>
          <w:i/>
        </w:rPr>
        <w:t>et al.</w:t>
      </w:r>
      <w:r>
        <w:rPr/>
        <w:t xml:space="preserve"> (2018)),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rPr/>
      </w:pPr>
      <w:r>
        <w:rP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their first scientific research experience (e.g. University of California’s CALeDNA program, </w:t>
      </w:r>
      <w:hyperlink r:id="rId3">
        <w:r>
          <w:rPr>
            <w:rStyle w:val="InternetLink"/>
          </w:rPr>
          <w:t>http://www.ucedna.com/</w:t>
        </w:r>
      </w:hyperlink>
      <w:r>
        <w:rPr/>
        <w:t xml:space="preserve">), to professional natural resource managers who regularly collaborate with research scientists (e.g. Center for Ocean Solutions’ eDNA project, </w:t>
      </w:r>
      <w:hyperlink r:id="rId4">
        <w:r>
          <w:rPr>
            <w:rStyle w:val="InternetLink"/>
          </w:rPr>
          <w:t>https://oceansolutions.stanford.edu/project-environmental-dna</w:t>
        </w:r>
      </w:hyperlink>
      <w:r>
        <w:rPr/>
        <w:t>). A key ingredient to promote sustained success of such programs is that community partners should be able to engage across multiple stages of the research project, not only in sample collection (Pandya 2012; European Citizen Science Association 2015). This can be a challenge for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some community science programs.</w:t>
      </w:r>
    </w:p>
    <w:p>
      <w:pPr>
        <w:pStyle w:val="TextBody"/>
        <w:rPr/>
      </w:pPr>
      <w:r>
        <w:rPr/>
        <w:t>To address this challenge, we created the R package “</w:t>
      </w:r>
      <w:r>
        <w:rPr>
          <w:rStyle w:val="VerbatimChar"/>
        </w:rPr>
        <w:t>ranacapa</w:t>
      </w:r>
      <w:r>
        <w:rPr/>
        <w:t xml:space="preserve">”, at the core of which is a Shiny web app that can be used to visualize results from eDNA sequencing studies and perform simple community ecology analyses.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of several core analyses used in eDNA studies and includes links to additional educational resources. </w:t>
      </w:r>
      <w:r>
        <w:rPr>
          <w:rStyle w:val="VerbatimChar"/>
        </w:rPr>
        <w:t>ranacapa</w:t>
      </w:r>
      <w:r>
        <w:rPr/>
        <w:t xml:space="preserve"> works with community matrices generated via QIIME (Caporaso </w:t>
      </w:r>
      <w:r>
        <w:rPr>
          <w:i/>
        </w:rPr>
        <w:t>et al.</w:t>
      </w:r>
      <w:r>
        <w:rPr/>
        <w:t xml:space="preserve"> 2010) or the Anacapa sequence analysis pipeline (</w:t>
      </w:r>
      <w:hyperlink r:id="rId5">
        <w:r>
          <w:rPr>
            <w:rStyle w:val="InternetLink"/>
          </w:rPr>
          <w:t>https://github.com/limey-bean/Anacapa</w:t>
        </w:r>
      </w:hyperlink>
      <w:r>
        <w:rPr/>
        <w:t>), the latter being used extensively by the CALeDNA program.</w:t>
      </w:r>
    </w:p>
    <w:p>
      <w:pPr>
        <w:pStyle w:val="TextBody"/>
        <w:rPr/>
      </w:pPr>
      <w:r>
        <w:rPr/>
        <w:t>Here,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r>
        <w:rPr/>
        <w:t>Implementation</w:t>
      </w:r>
    </w:p>
    <w:p>
      <w:pPr>
        <w:pStyle w:val="FirstParagraph"/>
        <w:rPr/>
      </w:pPr>
      <w:r>
        <w:rPr/>
        <w:t xml:space="preserve">At the core of </w:t>
      </w:r>
      <w:r>
        <w:rPr>
          <w:rStyle w:val="VerbatimChar"/>
        </w:rPr>
        <w:t>ranacapa</w:t>
      </w:r>
      <w:r>
        <w:rPr/>
        <w:t xml:space="preserve"> is a Shiny web app (Chang </w:t>
      </w:r>
      <w:r>
        <w:rPr>
          <w:i/>
        </w:rPr>
        <w:t>et al.</w:t>
      </w:r>
      <w:r>
        <w:rPr/>
        <w:t xml:space="preserve"> 2018), which is available at </w:t>
      </w:r>
      <w:hyperlink r:id="rId6">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analyzed using the Phyloseq (McMurdie &amp; Holmes 2013) and Vegan (Oksanen </w:t>
      </w:r>
      <w:r>
        <w:rPr>
          <w:i/>
        </w:rPr>
        <w:t>et al.</w:t>
      </w:r>
      <w:r>
        <w:rPr/>
        <w:t xml:space="preserve"> 2018) packages. </w:t>
      </w:r>
      <w:r>
        <w:rPr>
          <w:rStyle w:val="VerbatimChar"/>
        </w:rPr>
        <w:t>ranacapa</w:t>
      </w:r>
      <w:r>
        <w:rPr/>
        <w:t xml:space="preserve"> is available for installation from Github or CRAN:</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rPr/>
        <w:br/>
      </w:r>
      <w:r>
        <w:rPr>
          <w:rStyle w:val="KeywordTok"/>
        </w:rPr>
        <w:t>install.packages</w:t>
      </w:r>
      <w:r>
        <w:rPr>
          <w:rStyle w:val="NormalTok"/>
        </w:rPr>
        <w:t>(</w:t>
      </w:r>
      <w:r>
        <w:rPr>
          <w:rStyle w:val="StringTok"/>
        </w:rPr>
        <w:t>"ranacapa"</w:t>
      </w:r>
      <w:r>
        <w:rPr>
          <w:rStyle w:val="NormalTok"/>
        </w:rPr>
        <w:t>)</w:t>
      </w:r>
    </w:p>
    <w:p>
      <w:pPr>
        <w:pStyle w:val="FirstParagraph"/>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Normal"/>
        <w:numPr>
          <w:ilvl w:val="0"/>
          <w:numId w:val="3"/>
        </w:numPr>
        <w:rPr/>
      </w:pPr>
      <w:r>
        <w:rPr>
          <w:b/>
        </w:rPr>
        <w:t>Sequencing depth</w:t>
      </w:r>
      <w:r>
        <w:rPr/>
        <w:t>: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 (McMurdie &amp; Holmes 2014).</w:t>
      </w:r>
    </w:p>
    <w:p>
      <w:pPr>
        <w:pStyle w:val="Normal"/>
        <w:numPr>
          <w:ilvl w:val="0"/>
          <w:numId w:val="3"/>
        </w:numPr>
        <w:rPr/>
      </w:pPr>
      <w:r>
        <w:rPr>
          <w:b/>
        </w:rPr>
        <w:t>Taxonomy heatmap</w:t>
      </w:r>
      <w:r>
        <w:rPr/>
        <w:t xml:space="preserve">: Shows the taxon-by-sample matrix as an interactive heatmap made using </w:t>
      </w:r>
      <w:r>
        <w:rPr>
          <w:rStyle w:val="VerbatimChar"/>
        </w:rPr>
        <w:t>heatmaply::heatmaply()</w:t>
      </w:r>
      <w:r>
        <w:rPr/>
        <w:t xml:space="preserve"> (Galili </w:t>
      </w:r>
      <w:r>
        <w:rPr>
          <w:i/>
        </w:rPr>
        <w:t>et al.</w:t>
      </w:r>
      <w:r>
        <w:rPr/>
        <w:t xml:space="preserve"> 2017), where the color of each cell represents the number of times a given taxon was sequenced in a sample (Figure 2). Users can filter the taxon list by selecting or deselecting specific taxa.</w:t>
      </w:r>
    </w:p>
    <w:p>
      <w:pPr>
        <w:pStyle w:val="Normal"/>
        <w:numPr>
          <w:ilvl w:val="0"/>
          <w:numId w:val="3"/>
        </w:numPr>
        <w:rPr/>
      </w:pPr>
      <w:r>
        <w:rPr>
          <w:b/>
        </w:rPr>
        <w:t>Taxonomy barplot</w:t>
      </w:r>
      <w:r>
        <w:rPr/>
        <w:t>: Shows the taxonomy-by-sample matrix as an interactive barplot (Figure 3).</w:t>
      </w:r>
    </w:p>
    <w:p>
      <w:pPr>
        <w:pStyle w:val="Normal"/>
        <w:numPr>
          <w:ilvl w:val="0"/>
          <w:numId w:val="3"/>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Normal"/>
        <w:numPr>
          <w:ilvl w:val="0"/>
          <w:numId w:val="3"/>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3"/>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which in turn uses an ordination object made with </w:t>
      </w:r>
      <w:r>
        <w:rPr>
          <w:rStyle w:val="VerbatimChar"/>
        </w:rPr>
        <w:t>phyloseq::ordinate(., method = "PCoA")</w:t>
      </w:r>
      <w:r>
        <w:rPr/>
        <w:t>. Points on the PCoA plot are colored according to a user-selected metadata variable (Figure 5).</w:t>
      </w:r>
    </w:p>
    <w:p>
      <w:pPr>
        <w:pStyle w:val="FirstParagraph"/>
        <w:widowControl/>
        <w:bidi w:val="0"/>
        <w:spacing w:lineRule="auto" w:line="480" w:before="180" w:after="180"/>
        <w:ind w:left="449" w:right="0" w:hanging="0"/>
        <w:jc w:val="left"/>
        <w:rPr/>
      </w:pPr>
      <w:r>
        <w:rPr/>
        <w:t>This tab also includes a dendrogram that groups sites based on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xml:space="preserve">. For both figures, users can toggle between using Jaccard and Bray-Curtis dissimilarity.  </w:t>
      </w:r>
    </w:p>
    <w:p>
      <w:pPr>
        <w:pStyle w:val="FirstParagraph"/>
        <w:widowControl/>
        <w:numPr>
          <w:ilvl w:val="0"/>
          <w:numId w:val="5"/>
        </w:numPr>
        <w:tabs>
          <w:tab w:val="left" w:pos="450" w:leader="none"/>
        </w:tabs>
        <w:bidi w:val="0"/>
        <w:spacing w:lineRule="auto" w:line="480" w:before="180" w:after="180"/>
        <w:ind w:left="449" w:right="0" w:hanging="449"/>
        <w:jc w:val="left"/>
        <w:rPr/>
      </w:pPr>
      <w:r>
        <w:rPr>
          <w:b/>
        </w:rPr>
        <w:t>Beta diversity statistics</w:t>
      </w:r>
      <w:r>
        <w:rPr/>
        <w:t xml:space="preserve">: Shows results from two statistical tests of species turnover across sites. The first test is a multivariate ANOVA of taxon turnover across sites, implemented with </w:t>
      </w:r>
      <w:r>
        <w:rPr>
          <w:rStyle w:val="VerbatimChar"/>
        </w:rPr>
        <w:t>vegan::adonis()</w:t>
      </w:r>
      <w:r>
        <w:rPr/>
        <w:t xml:space="preserve">. The second statistical test, which is implemented with </w:t>
      </w:r>
      <w:r>
        <w:rPr>
          <w:rStyle w:val="VerbatimChar"/>
        </w:rPr>
        <w:t>vegan::betadisper()</w:t>
      </w:r>
      <w:r>
        <w:rPr/>
        <w:t>, is of heterogeneity of variances among samples. This test compares the degree of sample-to-sample variation within habitats (or within other user-selected groups).</w:t>
      </w:r>
    </w:p>
    <w:p>
      <w:pPr>
        <w:pStyle w:val="Heading2"/>
        <w:rPr/>
      </w:pPr>
      <w:bookmarkStart w:id="4" w:name="operation"/>
      <w:bookmarkEnd w:id="4"/>
      <w:r>
        <w:rPr/>
        <w:t>Operation</w:t>
      </w:r>
    </w:p>
    <w:p>
      <w:pPr>
        <w:pStyle w:val="FirstParagraph"/>
        <w:rPr/>
      </w:pPr>
      <w:r>
        <w:rPr>
          <w:rStyle w:val="VerbatimChar"/>
        </w:rPr>
        <w:t>ranacapa</w:t>
      </w:r>
      <w:r>
        <w:rPr/>
        <w:t xml:space="preserve"> depends on Bioconductor v 3.7, which in turn relies on </w:t>
      </w:r>
      <w:r>
        <w:rPr>
          <w:rStyle w:val="VerbatimChar"/>
        </w:rPr>
        <w:t>R</w:t>
      </w:r>
      <w:r>
        <w:rPr/>
        <w:t xml:space="preserve"> v 3.5.0. The Shiny app has been tested on Chrome and Firefox on Windows, Mac-OSX, and Ubuntu.</w:t>
      </w:r>
    </w:p>
    <w:p>
      <w:pPr>
        <w:pStyle w:val="Heading3"/>
        <w:rPr/>
      </w:pPr>
      <w:bookmarkStart w:id="5" w:name="input-file-structure"/>
      <w:bookmarkEnd w:id="5"/>
      <w:r>
        <w:rPr/>
        <w:t>Input file structure</w:t>
      </w:r>
    </w:p>
    <w:p>
      <w:pPr>
        <w:pStyle w:val="FirstParagraph"/>
        <w:rPr/>
      </w:pPr>
      <w:r>
        <w:rPr/>
        <w:t xml:space="preserve">The </w:t>
      </w:r>
      <w:r>
        <w:rPr>
          <w:rStyle w:val="VerbatimChar"/>
        </w:rPr>
        <w:t>ranacapa</w:t>
      </w:r>
      <w:r>
        <w:rPr/>
        <w:t xml:space="preserve"> Shiny app requires two input files. The first requirement is a taxon-by-sample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Anacapa eDNA sequence analysis pipeline (</w:t>
      </w:r>
      <w:hyperlink r:id="rId7">
        <w:r>
          <w:rPr>
            <w:rStyle w:val="InternetLink"/>
          </w:rPr>
          <w:t>https://github.com/limey-bean/Anacapa</w:t>
        </w:r>
      </w:hyperlink>
      <w:r>
        <w:rPr/>
        <w:t xml:space="preserve">). In Anacapa output, each row represents a taxonomic identification, and each column (save one) represents the number of times that taxon appears in each sequenced sample. One column, named </w:t>
      </w:r>
      <w:r>
        <w:rPr>
          <w:rStyle w:val="VerbatimChar"/>
        </w:rPr>
        <w:t>sum.taxonomy</w:t>
      </w:r>
      <w:r>
        <w:rPr/>
        <w:t xml:space="preserve"> must contain the taxonomic identification, with taxonomic rank separated by a semicolon. A valid input file is structured as follows:</w:t>
      </w:r>
    </w:p>
    <w:p>
      <w:pPr>
        <w:pStyle w:val="SourceCode"/>
        <w:shd w:fill="F8F8F8" w:val="clear"/>
        <w:rPr/>
      </w:pPr>
      <w:r>
        <w:rPr>
          <w:rStyle w:val="VerbatimChar"/>
          <w:sz w:val="16"/>
          <w:szCs w:val="16"/>
        </w:rPr>
        <w:t>sum.taxonomy</w:t>
        <w:br/>
        <w:t>Chordata;Actinopteri;Chaetodontiformes;Chaetodontidae;Chaetodon;Chaetodon reticulatus</w:t>
        <w:br/>
        <w:t>NA;Florideophyceae;Ceramiales;Delesseriaceae;Membranoptera;Membranoptera platyphylla</w:t>
        <w:br/>
        <w:t>Chordata;Actinopteri;Lutjaniformes;Lutjanidae;Aphareus;Aphareus furca</w:t>
        <w:br/>
        <w:t>NA;Oomycetes;Peronosporales;Peronosporaceae;Calycofera;Calycofera operculata</w:t>
        <w:br/>
        <w:t>Phaeophyceae;NA;Ectocarpales;Chordariaceae;NA;Chordariaceae sp. 2 AP-2014</w:t>
        <w:br/>
        <w:t>Arthropoda;Insecta;Lepidoptera;NA;;</w:t>
        <w:br/>
        <w:t>Chordata;Actinopteri;Perciformes;Scorpaenidae;Sebastapistes;Sebastapistes tinkhami</w:t>
        <w:br/>
        <w:t>NA;Oomycetes;Pythiales;Pythiaceae;Pythium;Pythium aff. diclinum</w:t>
        <w:br/>
        <w:t>Chordata;Actinopteri;Perciformes;Zaniolepididae;Zaniolepis;Zaniolepis latipinnis</w:t>
        <w:br/>
        <w:t>Chordata;Actinopteri;NA;Pomacanthidae;Pomacanthus;Pomacanthus semicirculatus</w:t>
        <w:br/>
        <w:t xml:space="preserve"> </w:t>
      </w:r>
    </w:p>
    <w:p>
      <w:pPr>
        <w:pStyle w:val="SourceCode"/>
        <w:shd w:fill="F8F8F8" w:val="clear"/>
        <w:rPr/>
      </w:pPr>
      <w:r>
        <w:rPr>
          <w:rStyle w:val="VerbatimChar"/>
          <w:sz w:val="16"/>
          <w:szCs w:val="16"/>
        </w:rPr>
        <w:t>Arch_point_1 Arch_point_2 Black_seabass_reef_1 Black_seabass_reef_2</w:t>
        <w:br/>
        <w:t xml:space="preserve">            0            0                    0                    0</w:t>
        <w:br/>
        <w:t xml:space="preserve">            0            0                   43                   87</w:t>
        <w:br/>
        <w:t xml:space="preserve">            0            0                    0                    0</w:t>
        <w:br/>
        <w:t xml:space="preserve">            0            0                    0                    0</w:t>
        <w:br/>
        <w:t xml:space="preserve">           24           36                   30                   16</w:t>
        <w:br/>
        <w:t xml:space="preserve">            0            0                    0                    0</w:t>
        <w:br/>
        <w:t xml:space="preserve">            0            0                    0                    0</w:t>
        <w:br/>
        <w:t xml:space="preserve">            0            0                   16                  177</w:t>
        <w:br/>
        <w:t xml:space="preserve">            0            0                    0                    0</w:t>
        <w:br/>
        <w:t xml:space="preserve">            0            0                    0                    0</w:t>
      </w:r>
    </w:p>
    <w:p>
      <w:pPr>
        <w:pStyle w:val="FirstParagraph"/>
        <w:rPr/>
      </w:pPr>
      <w:r>
        <w:rPr/>
        <w:t xml:space="preserve">The second requirement is a tab-separated </w:t>
      </w:r>
      <w:r>
        <w:rPr>
          <w:rStyle w:val="VerbatimChar"/>
        </w:rPr>
        <w:t>.txt</w:t>
      </w:r>
      <w:r>
        <w:rP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shd w:fill="F8F8F8" w:val="clear"/>
        <w:rPr/>
      </w:pPr>
      <w:r>
        <w:rPr>
          <w:rStyle w:val="VerbatimChar"/>
          <w:sz w:val="14"/>
          <w:szCs w:val="14"/>
        </w:rPr>
        <w:t xml:space="preserve">Sample </w:t>
        <w:tab/>
        <w:tab/>
        <w:tab/>
        <w:t>Sample_or_Control</w:t>
        <w:tab/>
        <w:t>Island</w:t>
        <w:tab/>
        <w:tab/>
        <w:t>Protection</w:t>
        <w:tab/>
        <w:tab/>
        <w:t>Locality</w:t>
        <w:br/>
        <w:t>Black_seabass_reef_1</w:t>
        <w:tab/>
        <w:t>Sample</w:t>
        <w:tab/>
        <w:tab/>
        <w:t xml:space="preserve">Anacapa         </w:t>
        <w:tab/>
        <w:t>MPA</w:t>
        <w:tab/>
        <w:tab/>
        <w:t>Black_seabass_reef</w:t>
        <w:br/>
        <w:t xml:space="preserve">Arch_point_1            </w:t>
        <w:tab/>
        <w:tab/>
        <w:t xml:space="preserve">Sample </w:t>
        <w:tab/>
        <w:tab/>
        <w:t xml:space="preserve">Santa Barbara </w:t>
        <w:tab/>
        <w:t>non-MPA</w:t>
        <w:tab/>
        <w:tab/>
        <w:t>Arch_point</w:t>
        <w:br/>
        <w:t xml:space="preserve">Arch_point_2           </w:t>
        <w:tab/>
        <w:tab/>
        <w:t xml:space="preserve">Sample </w:t>
        <w:tab/>
        <w:tab/>
        <w:t xml:space="preserve">Santa Barbara </w:t>
        <w:tab/>
        <w:t>non-MPA</w:t>
        <w:tab/>
        <w:tab/>
        <w:t>Arch_point</w:t>
        <w:br/>
        <w:t>Black_seabass_reef_2</w:t>
        <w:tab/>
        <w:t>Sample</w:t>
        <w:tab/>
        <w:tab/>
        <w:t xml:space="preserve">Anacapa         </w:t>
        <w:tab/>
        <w:t>MPA</w:t>
        <w:tab/>
        <w:tab/>
        <w:t>Black_seabass_reef</w:t>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6" w:name="use-cases"/>
      <w:bookmarkEnd w:id="6"/>
      <w:r>
        <w:rPr/>
        <w:t>Use Cases</w:t>
      </w:r>
    </w:p>
    <w:p>
      <w:pPr>
        <w:pStyle w:val="FirstParagraph"/>
        <w:rPr/>
      </w:pPr>
      <w:r>
        <w:rPr/>
        <w:t xml:space="preserve">We expect that researchers with expertise in bioinformatics will use the sequence analysis pipeline of their choice to assign taxonomy to eDNA datasets, and generate clean taxonomy and metadata files that can be visualized in </w:t>
      </w:r>
      <w:r>
        <w:rPr>
          <w:rStyle w:val="VerbatimChar"/>
        </w:rPr>
        <w:t>ranacapa</w:t>
      </w:r>
      <w:r>
        <w:rPr/>
        <w:t xml:space="preserve">. Researchers can share these files with their partners, and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7" w:name="use-case-1-partnership-between-edna-researchers-and-natural-resource-managers"/>
      <w:bookmarkEnd w:id="7"/>
      <w:r>
        <w:rPr/>
        <w:t>Use Case 1: Partnership between eDNA researchers and natural resource managers</w:t>
      </w:r>
    </w:p>
    <w:p>
      <w:pPr>
        <w:pStyle w:val="FirstParagraph"/>
        <w:rPr/>
      </w:pPr>
      <w:r>
        <w:rPr/>
        <w:t xml:space="preserve">A team of UCLA researchers partnered with resource managers at the Channel Islands National Park Service to assess the potential for eDNA as a biodiversity monitoring tool to supplement time-intensive visual biodiversity surveys in the Southern California Channel Islands (Lessios 1996; Usseglio 2015; Deiner </w:t>
      </w:r>
      <w:r>
        <w:rPr>
          <w:i/>
        </w:rPr>
        <w:t>et al.</w:t>
      </w:r>
      <w:r>
        <w:rPr/>
        <w:t xml:space="preserve"> 2017). For this partnership, resource managers collected and filtered 30 unique one-liter water samples for eDNA analysis at permanent monitoring sites inside and adjacent to protected areas, and research scientists at UCLA performed eDNA sequencing of the mitochondrial 12S (Miya </w:t>
      </w:r>
      <w:r>
        <w:rPr>
          <w:i/>
        </w:rPr>
        <w:t>et al.</w:t>
      </w:r>
      <w:r>
        <w:rPr/>
        <w:t xml:space="preserve"> 2015) and CO1 (Leray </w:t>
      </w:r>
      <w:r>
        <w:rPr>
          <w:i/>
        </w:rPr>
        <w:t>et al.</w:t>
      </w:r>
      <w:r>
        <w:rPr/>
        <w:t xml:space="preserve"> 2013) genes, targeting bony fishes, elasmobranches, and invertebrate taxa. The researchers processed sequences and assigned taxonomy using the Anacapa pipeline, and shared results with the resource managers using the </w:t>
      </w:r>
      <w:r>
        <w:rPr>
          <w:rStyle w:val="VerbatimChar"/>
        </w:rPr>
        <w:t>ranacapa</w:t>
      </w:r>
      <w:r>
        <w:rPr/>
        <w:t xml:space="preserve"> Shiny app.</w:t>
      </w:r>
    </w:p>
    <w:p>
      <w:pPr>
        <w:pStyle w:val="TextBody"/>
        <w:rPr/>
      </w:pPr>
      <w:r>
        <w:rPr/>
        <w:t xml:space="preserve">The taxonomy heatmap of species detected using the 12S and CO1 metabarcodes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provide critical information for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app and are available online (Kandlikar </w:t>
      </w:r>
      <w:r>
        <w:rPr>
          <w:i/>
        </w:rPr>
        <w:t>et al.</w:t>
      </w:r>
      <w:r>
        <w:rPr/>
        <w:t xml:space="preserve"> 2018a).</w:t>
      </w:r>
    </w:p>
    <w:p>
      <w:pPr>
        <w:pStyle w:val="Heading3"/>
        <w:rPr/>
      </w:pPr>
      <w:bookmarkStart w:id="8" w:name="use-case-2-partnership-between-edna-researchers-and-an-undergraduate-microbiology-course"/>
      <w:bookmarkEnd w:id="8"/>
      <w:r>
        <w:rPr/>
        <w:t>Use Case 2: Partnership between eDNA researchers and an undergraduate microbiology course</w:t>
      </w:r>
    </w:p>
    <w:p>
      <w:pPr>
        <w:pStyle w:val="FirstParagraph"/>
        <w:rPr/>
      </w:pPr>
      <w:r>
        <w:rPr/>
        <w:t xml:space="preserve">A team of community ecology and environmental DNA researchers in the CALeDNA program collaborated with instructors of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rPr>
        <w:t>et al.</w:t>
      </w:r>
      <w:r>
        <w:rPr/>
        <w:t xml:space="preserve"> 2013) and 16S SSU RNA (Caporaso </w:t>
      </w:r>
      <w:r>
        <w:rPr>
          <w:i/>
        </w:rPr>
        <w:t>et al.</w:t>
      </w:r>
      <w:r>
        <w:rPr/>
        <w:t xml:space="preserve"> 2012) metabarcoding regions from student-collected soil samples and used the Anacapa pipeline to generate taxon-by-sample tables.</w:t>
      </w:r>
    </w:p>
    <w:p>
      <w:pPr>
        <w:pStyle w:val="TextBody"/>
        <w:rPr/>
      </w:pPr>
      <w:r>
        <w:rPr/>
        <w:t xml:space="preserve">The course instructors used the </w:t>
      </w:r>
      <w:r>
        <w:rPr>
          <w:rStyle w:val="VerbatimChar"/>
        </w:rPr>
        <w:t>ranacapa</w:t>
      </w:r>
      <w:r>
        <w:rPr/>
        <w:t xml:space="preserve"> Shiny app to introduce students to the structure of eDNA sequencing results. The students were encouraged to explore data and perform the statistical analyses most pertinent to the hypotheses they had formed at the beginning of the course.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the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tools such as STAMP (Parks </w:t>
      </w:r>
      <w:r>
        <w:rPr>
          <w:i/>
        </w:rPr>
        <w:t>et al.</w:t>
      </w:r>
      <w:r>
        <w:rPr/>
        <w:t xml:space="preserve"> 2014) and PICRUSt (Langille </w:t>
      </w:r>
      <w:r>
        <w:rPr>
          <w:i/>
        </w:rPr>
        <w:t>et al.</w:t>
      </w:r>
      <w:r>
        <w:rPr/>
        <w:t xml:space="preserve"> 2013). The taxonomy tables and metadata files used in this course are available online (Kandlikar </w:t>
      </w:r>
      <w:r>
        <w:rPr>
          <w:i/>
        </w:rPr>
        <w:t>et al.</w:t>
      </w:r>
      <w:r>
        <w:rPr/>
        <w:t xml:space="preserve"> 2018b).</w:t>
      </w:r>
    </w:p>
    <w:p>
      <w:pPr>
        <w:pStyle w:val="Heading2"/>
        <w:rPr/>
      </w:pPr>
      <w:bookmarkStart w:id="9" w:name="summary-and-future-directions"/>
      <w:bookmarkEnd w:id="9"/>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app </w:t>
      </w:r>
      <w:r>
        <w:rPr>
          <w:rStyle w:val="VerbatimChar"/>
        </w:rPr>
        <w:t>ranacapa</w:t>
      </w:r>
      <w:r>
        <w:rPr/>
        <w:t xml:space="preserve"> helps users conduct exploratory analyses and visualizations on eDNA datasets, and is a step toward more fully engaging participants in all phases of eDNA sequencing-based community science projects.</w:t>
      </w:r>
    </w:p>
    <w:p>
      <w:pPr>
        <w:pStyle w:val="TextBody"/>
        <w:rPr/>
      </w:pPr>
      <w:r>
        <w:rPr/>
        <w:t xml:space="preserve">We propose three avenues for future work with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r>
        <w:rPr>
          <w:rStyle w:val="VerbatimChar"/>
        </w:rPr>
        <w:t>ranacapa</w:t>
      </w:r>
      <w:r>
        <w:rPr/>
        <w:t xml:space="preserve"> with packages that connect with APIs of online biodiversity databases (e.g. Taxize (Chamberlain &amp; Szöcs 2013), rinat (Barve &amp; Hart 2017)). This will help users explore a much wider range of biodiversity questions, for example, by programmatically asking whether their samples include invasive species that are absent from other nearby sites. In sum, tools like </w:t>
      </w:r>
      <w:r>
        <w:rPr>
          <w:rStyle w:val="VerbatimChar"/>
        </w:rPr>
        <w:t>ranacapa</w:t>
      </w:r>
      <w:r>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pPr>
      <w:bookmarkStart w:id="10" w:name="software-availability"/>
      <w:bookmarkEnd w:id="10"/>
      <w:r>
        <w:rPr/>
        <w:t>Software availability</w:t>
      </w:r>
    </w:p>
    <w:p>
      <w:pPr>
        <w:pStyle w:val="Compact"/>
        <w:numPr>
          <w:ilvl w:val="0"/>
          <w:numId w:val="4"/>
        </w:numPr>
        <w:rPr/>
      </w:pPr>
      <w:r>
        <w:rPr/>
        <w:t xml:space="preserve">A Shiny app, including a dataset generated for demonstrations, is available at </w:t>
      </w:r>
      <w:hyperlink r:id="rId8">
        <w:r>
          <w:rPr>
            <w:rStyle w:val="InternetLink"/>
          </w:rPr>
          <w:t>https://gauravsk.shinyapps.io/ranacapa</w:t>
        </w:r>
      </w:hyperlink>
    </w:p>
    <w:p>
      <w:pPr>
        <w:pStyle w:val="Compact"/>
        <w:numPr>
          <w:ilvl w:val="0"/>
          <w:numId w:val="4"/>
        </w:numPr>
        <w:rPr/>
      </w:pPr>
      <w:r>
        <w:rPr>
          <w:rStyle w:val="VerbatimChar"/>
        </w:rPr>
        <w:t>ranacapa</w:t>
      </w:r>
      <w:r>
        <w:rPr/>
        <w:t xml:space="preserve"> is available for installation at </w:t>
      </w:r>
      <w:hyperlink r:id="rId9">
        <w:r>
          <w:rPr>
            <w:rStyle w:val="InternetLink"/>
          </w:rPr>
          <w:t>https://github.com/gauravsk/ranacapa</w:t>
        </w:r>
      </w:hyperlink>
    </w:p>
    <w:p>
      <w:pPr>
        <w:pStyle w:val="Compact"/>
        <w:numPr>
          <w:ilvl w:val="0"/>
          <w:numId w:val="4"/>
        </w:numPr>
        <w:rPr/>
      </w:pPr>
      <w:r>
        <w:rPr/>
        <w:t>Link to source code as at time of publication (F1000Research TO GENERATE)</w:t>
      </w:r>
    </w:p>
    <w:p>
      <w:pPr>
        <w:pStyle w:val="Compact"/>
        <w:numPr>
          <w:ilvl w:val="0"/>
          <w:numId w:val="4"/>
        </w:numPr>
        <w:rPr/>
      </w:pPr>
      <w:r>
        <w:rPr/>
        <w:t>Link to archived source code as at time of publication (F1000Research TO GENERATE)</w:t>
      </w:r>
    </w:p>
    <w:p>
      <w:pPr>
        <w:pStyle w:val="Compact"/>
        <w:numPr>
          <w:ilvl w:val="0"/>
          <w:numId w:val="4"/>
        </w:numPr>
        <w:rPr/>
      </w:pPr>
      <w:r>
        <w:rPr/>
        <w:t>Software license (GPL-3)</w:t>
      </w:r>
    </w:p>
    <w:p>
      <w:pPr>
        <w:pStyle w:val="Compact"/>
        <w:numPr>
          <w:ilvl w:val="0"/>
          <w:numId w:val="4"/>
        </w:numPr>
        <w:rPr/>
      </w:pPr>
      <w:r>
        <w:rPr/>
        <w:t>Data availab</w:t>
      </w:r>
      <w:r>
        <w:rPr/>
        <w:t>le on Figshare</w:t>
      </w:r>
      <w:r>
        <w:rPr/>
        <w:t xml:space="preserve">: </w:t>
      </w:r>
      <w:hyperlink r:id="rId10">
        <w:r>
          <w:rPr>
            <w:rStyle w:val="InternetLink"/>
          </w:rPr>
          <w:t>https://doi.org/10.6084/m9.figshare.7199477</w:t>
        </w:r>
      </w:hyperlink>
      <w:r>
        <w:rPr/>
        <w:t xml:space="preserve"> and </w:t>
      </w:r>
      <w:hyperlink r:id="rId11">
        <w:r>
          <w:rPr>
            <w:rStyle w:val="InternetLink"/>
          </w:rPr>
          <w:t>https://doi.org/10.6084/m9.figshare.7199510.v1</w:t>
        </w:r>
      </w:hyperlink>
    </w:p>
    <w:p>
      <w:pPr>
        <w:pStyle w:val="Compact"/>
        <w:numPr>
          <w:ilvl w:val="0"/>
          <w:numId w:val="4"/>
        </w:numPr>
        <w:rPr/>
      </w:pPr>
      <w:r>
        <w:rPr/>
        <w:t>License: CC-BY 4.0</w:t>
      </w:r>
    </w:p>
    <w:p>
      <w:pPr>
        <w:pStyle w:val="Heading2"/>
        <w:rPr/>
      </w:pPr>
      <w:bookmarkStart w:id="11" w:name="author-contributions"/>
      <w:bookmarkEnd w:id="11"/>
      <w:r>
        <w:rPr/>
        <w:t>Author contributions</w:t>
      </w:r>
    </w:p>
    <w:p>
      <w:pPr>
        <w:pStyle w:val="FirstParagraph"/>
        <w:rPr/>
      </w:pPr>
      <w:r>
        <w:rPr/>
        <w:t xml:space="preserve">GSK led the development of ranacapa, with help from MCC. ZJG and EEC provided feedback regarding which analyses and visualization options to include. ZJG performed the MPA eDNA study in collaboration with JS and DK. NJBK, GSK, EEC, and RSM collaborated with AF and JMP, who used </w:t>
      </w:r>
      <w:r>
        <w:rPr>
          <w:rStyle w:val="VerbatimChar"/>
        </w:rPr>
        <w:t>ranacapa</w:t>
      </w:r>
      <w:r>
        <w:rPr/>
        <w:t xml:space="preserve"> in their microbiology undergraduate course. GSK wrote the first draft of this manuscript; all authors contributed to revisions.</w:t>
      </w:r>
    </w:p>
    <w:p>
      <w:pPr>
        <w:pStyle w:val="Heading2"/>
        <w:rPr/>
      </w:pPr>
      <w:bookmarkStart w:id="12" w:name="competing-interests"/>
      <w:bookmarkEnd w:id="12"/>
      <w:r>
        <w:rPr/>
        <w:t>Competing interests</w:t>
      </w:r>
    </w:p>
    <w:p>
      <w:pPr>
        <w:pStyle w:val="FirstParagraph"/>
        <w:rPr/>
      </w:pPr>
      <w:r>
        <w:rPr/>
        <w:t>No competing interests were disclosed.</w:t>
      </w:r>
    </w:p>
    <w:p>
      <w:pPr>
        <w:pStyle w:val="Heading2"/>
        <w:rPr/>
      </w:pPr>
      <w:bookmarkStart w:id="13" w:name="grant-information"/>
      <w:bookmarkEnd w:id="13"/>
      <w:r>
        <w:rPr/>
        <w:t>Grant information</w:t>
      </w:r>
    </w:p>
    <w:p>
      <w:pPr>
        <w:pStyle w:val="FirstParagraph"/>
        <w:rPr/>
      </w:pPr>
      <w:r>
        <w:rPr/>
        <w:t>GSK and ZJG were supported by the US-NSF Graduate Research Fellowship (DEG No. 1650604). NJBK was supported the National Science Foundation DEB-1644641. EEC, RSM, and the CALeDNA program are supported by the University of California President’s Research Catalyst Award (CA-16-376437).</w:t>
      </w:r>
    </w:p>
    <w:p>
      <w:pPr>
        <w:pStyle w:val="Heading2"/>
        <w:rPr/>
      </w:pPr>
      <w:bookmarkStart w:id="14" w:name="acknowledgments"/>
      <w:bookmarkEnd w:id="14"/>
      <w:r>
        <w:rPr/>
        <w:t>Acknowledgments</w:t>
      </w:r>
    </w:p>
    <w:p>
      <w:pPr>
        <w:pStyle w:val="FirstParagraph"/>
        <w:rPr/>
      </w:pPr>
      <w:r>
        <w:rPr/>
        <w:t xml:space="preserve">We thank Sabrina Shirazi, Rachel Turba, Chris Dao, and Keith Mitchell for providing feedback on developmental versions of this package. We also thank Mahendra Mariadassau and Pedro Martinez Arbizu for making their </w:t>
      </w:r>
      <w:r>
        <w:rPr>
          <w:rStyle w:val="VerbatimChar"/>
        </w:rPr>
        <w:t>phyloseq-extended</w:t>
      </w:r>
      <w:r>
        <w:rPr/>
        <w:t xml:space="preserve"> (</w:t>
      </w:r>
      <w:hyperlink r:id="rId12">
        <w:r>
          <w:rPr>
            <w:rStyle w:val="InternetLink"/>
          </w:rPr>
          <w:t>https://github.com/mahendra-mariadassou/phyloseq-extended</w:t>
        </w:r>
      </w:hyperlink>
      <w:r>
        <w:rPr/>
        <w:t xml:space="preserve">) and </w:t>
      </w:r>
      <w:r>
        <w:rPr>
          <w:rStyle w:val="VerbatimChar"/>
        </w:rPr>
        <w:t>pairwiseAdonis</w:t>
      </w:r>
      <w:r>
        <w:rPr/>
        <w:t xml:space="preserve"> (</w:t>
      </w:r>
      <w:hyperlink r:id="rId13">
        <w:r>
          <w:rPr>
            <w:rStyle w:val="InternetLink"/>
          </w:rPr>
          <w:t>https://github.com/pmartinezarbizu/pairwiseAdonis</w:t>
        </w:r>
      </w:hyperlink>
      <w:r>
        <w:rPr/>
        <w:t>) packages openly available with a GPL-3 License.</w:t>
      </w:r>
    </w:p>
    <w:p>
      <w:pPr>
        <w:pStyle w:val="TextBody"/>
        <w:rPr/>
      </w:pPr>
      <w:r>
        <w:rPr/>
      </w:r>
    </w:p>
    <w:p>
      <w:pPr>
        <w:pStyle w:val="Heading2"/>
        <w:rPr/>
      </w:pPr>
      <w:r>
        <w:rPr/>
      </w:r>
      <w:r>
        <w:br w:type="page"/>
      </w:r>
    </w:p>
    <w:p>
      <w:pPr>
        <w:pStyle w:val="Heading2"/>
        <w:rPr/>
      </w:pPr>
      <w:bookmarkStart w:id="15" w:name="figures"/>
      <w:bookmarkEnd w:id="15"/>
      <w:r>
        <w:rPr/>
        <w:t xml:space="preserve">Figure </w:t>
      </w:r>
      <w:r>
        <w:rPr/>
        <w:t>legend</w:t>
      </w:r>
      <w:r>
        <w:rPr/>
        <w:t>s</w:t>
      </w:r>
    </w:p>
    <w:p>
      <w:pPr>
        <w:pStyle w:val="Heading4"/>
        <w:rPr/>
      </w:pPr>
      <w:r>
        <w:rPr>
          <w:b/>
          <w:iCs/>
        </w:rPr>
        <w:t>Note: All five figures are interactive figures, available in the attached file “figure_files.zip”.</w:t>
      </w:r>
    </w:p>
    <w:p>
      <w:pPr>
        <w:pStyle w:val="Heading4"/>
        <w:rPr/>
      </w:pPr>
      <w:bookmarkStart w:id="16" w:name="figure-1"/>
      <w:bookmarkEnd w:id="16"/>
      <w:r>
        <w:rPr/>
        <w:t>Figure 1</w:t>
      </w:r>
    </w:p>
    <w:p>
      <w:pPr>
        <w:pStyle w:val="FirstParagraph"/>
        <w:ind w:left="0" w:right="0" w:hanging="0"/>
        <w:rPr/>
      </w:pPr>
      <w:r>
        <w:rPr/>
        <w:t>Taxon accumulation curve as shown in the first tab of ranacapa.</w:t>
      </w:r>
    </w:p>
    <w:p>
      <w:pPr>
        <w:pStyle w:val="Heading4"/>
        <w:rPr/>
      </w:pPr>
      <w:bookmarkStart w:id="17" w:name="figure-2"/>
      <w:bookmarkEnd w:id="17"/>
      <w:r>
        <w:rPr/>
        <w:t>Figure 2</w:t>
      </w:r>
    </w:p>
    <w:p>
      <w:pPr>
        <w:pStyle w:val="FirstParagraph"/>
        <w:ind w:left="0" w:right="0" w:hanging="0"/>
        <w:rPr/>
      </w:pPr>
      <w:r>
        <w:rPr/>
        <w:t xml:space="preserve">Taxonomy heatmap as shown in the </w:t>
      </w:r>
      <w:r>
        <w:rPr>
          <w:rStyle w:val="VerbatimChar"/>
        </w:rPr>
        <w:t>ranacapa</w:t>
      </w:r>
      <w:r>
        <w:rPr/>
        <w:t xml:space="preserve"> Shiny app. Taxonomy is shown at the Order level in this figure; in the app, users can choose the taxonomic level to show in the heatmap. Users can also select or deselect individual taxa to be shown in the heatmap.</w:t>
      </w:r>
    </w:p>
    <w:p>
      <w:pPr>
        <w:pStyle w:val="Heading4"/>
        <w:rPr/>
      </w:pPr>
      <w:bookmarkStart w:id="18" w:name="figure-3"/>
      <w:bookmarkEnd w:id="18"/>
      <w:r>
        <w:rPr/>
        <w:t>Figure 3</w:t>
      </w:r>
    </w:p>
    <w:p>
      <w:pPr>
        <w:pStyle w:val="FirstParagraph"/>
        <w:ind w:left="0" w:right="0" w:hanging="0"/>
        <w:rPr/>
      </w:pPr>
      <w:r>
        <w:rPr/>
        <w:t xml:space="preserve">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Heading4"/>
        <w:rPr/>
      </w:pPr>
      <w:bookmarkStart w:id="19" w:name="figure-4"/>
      <w:bookmarkEnd w:id="19"/>
      <w:r>
        <w:rPr/>
        <w:t>Figure 4</w:t>
      </w:r>
    </w:p>
    <w:p>
      <w:pPr>
        <w:pStyle w:val="FirstParagraph"/>
        <w:ind w:left="0" w:right="0" w:hanging="0"/>
        <w:rPr/>
      </w:pPr>
      <w:r>
        <w:rPr/>
        <w:t xml:space="preserve">Alpha diversity boxplots as shown in the </w:t>
      </w:r>
      <w:r>
        <w:rPr>
          <w:rStyle w:val="VerbatimChar"/>
        </w:rPr>
        <w:t>ranacapa</w:t>
      </w:r>
      <w:r>
        <w:rPr/>
        <w:t xml:space="preserve"> Shiny app. Users can select the X-axis variable using a dropdown menu in the app.</w:t>
      </w:r>
    </w:p>
    <w:p>
      <w:pPr>
        <w:pStyle w:val="Heading4"/>
        <w:rPr/>
      </w:pPr>
      <w:bookmarkStart w:id="20" w:name="figure-5"/>
      <w:bookmarkEnd w:id="20"/>
      <w:r>
        <w:rPr/>
        <w:t>Figure 5</w:t>
      </w:r>
    </w:p>
    <w:p>
      <w:pPr>
        <w:pStyle w:val="FirstParagraph"/>
        <w:ind w:left="0" w:right="0" w:hanging="0"/>
        <w:rPr/>
      </w:pPr>
      <w:r>
        <w:rPr/>
        <w:t xml:space="preserve">PCoA ordination of the samples as shown in the </w:t>
      </w:r>
      <w:r>
        <w:rPr>
          <w:rStyle w:val="VerbatimChar"/>
        </w:rPr>
        <w:t>ranacapa</w:t>
      </w:r>
      <w:r>
        <w:rPr/>
        <w:t xml:space="preserve"> Shiny app. Users can select the grouping variable with a dropdown menu in the app.</w:t>
      </w:r>
      <w:r>
        <w:br w:type="page"/>
      </w:r>
    </w:p>
    <w:p>
      <w:pPr>
        <w:pStyle w:val="Heading2"/>
        <w:rPr/>
      </w:pPr>
      <w:r>
        <w:rPr/>
        <w:t>Tables</w:t>
      </w:r>
    </w:p>
    <w:p>
      <w:pPr>
        <w:pStyle w:val="TextBody"/>
        <w:spacing w:lineRule="auto" w:line="427" w:before="0" w:after="200"/>
        <w:ind w:left="0" w:right="0" w:hanging="0"/>
        <w:rPr/>
      </w:pPr>
      <w:r>
        <w:rPr>
          <w:sz w:val="22"/>
          <w:szCs w:val="22"/>
        </w:rPr>
        <w:t>Table 1.  Functions included within the ranacapa package</w:t>
      </w:r>
    </w:p>
    <w:tbl>
      <w:tblPr>
        <w:tblW w:w="8640" w:type="dxa"/>
        <w:jc w:val="left"/>
        <w:tblInd w:w="0" w:type="dxa"/>
        <w:tblBorders>
          <w:top w:val="single" w:sz="8" w:space="0" w:color="000001"/>
          <w:bottom w:val="single" w:sz="8" w:space="0" w:color="000001"/>
          <w:insideH w:val="single" w:sz="8" w:space="0" w:color="000001"/>
        </w:tblBorders>
        <w:tblCellMar>
          <w:top w:w="100" w:type="dxa"/>
          <w:left w:w="0" w:type="dxa"/>
          <w:bottom w:w="100" w:type="dxa"/>
          <w:right w:w="0" w:type="dxa"/>
        </w:tblCellMar>
        <w:tblLook w:val="04a0" w:noVBand="1" w:noHBand="0" w:lastColumn="0" w:firstColumn="1" w:lastRow="0" w:firstRow="1"/>
      </w:tblPr>
      <w:tblGrid>
        <w:gridCol w:w="2884"/>
        <w:gridCol w:w="5755"/>
      </w:tblGrid>
      <w:tr>
        <w:trPr/>
        <w:tc>
          <w:tcPr>
            <w:tcW w:w="2884"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Name</w:t>
            </w:r>
          </w:p>
        </w:tc>
        <w:tc>
          <w:tcPr>
            <w:tcW w:w="5755"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Description</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rPr>
              <w:t>scrub_seqNum_column</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Removes  any "xxx_seq_number" columns from the input taxonomy file if present (depends on which version of Anacapa was used to assign taxonomy)</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scrub_taxon_paths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Replaces empty cells in input taxonomy tables with “Unknown”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validate_input_files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Verifies that the input taxonomy file and input mapping file meet specifications</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convert_biom_to_taxon_table</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Converts a phyloseq-imported biom table into an Anacapa-formatted taxonomy table</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group_anacapa_by_taxonomy</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Summarizes a site-abundance table from the Anacapa pipeline to each unique taxon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categorize_continuous_vector</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Categorizes a continuous vector into low, medium, and high</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convert_anacapa_to_phyloseq</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 xml:space="preserve">Converts a site-abundance table from the Anacapa pipeline and </w:t>
            </w:r>
            <w:r>
              <w:rPr>
                <w:sz w:val="22"/>
                <w:szCs w:val="22"/>
                <w:highlight w:val="white"/>
              </w:rPr>
              <w:t>the associated</w:t>
            </w:r>
            <w:r>
              <w:rPr>
                <w:sz w:val="22"/>
                <w:szCs w:val="22"/>
                <w:highlight w:val="white"/>
              </w:rPr>
              <w:t xml:space="preserve"> </w:t>
            </w:r>
            <w:r>
              <w:rPr>
                <w:sz w:val="22"/>
                <w:szCs w:val="22"/>
                <w:highlight w:val="white"/>
              </w:rPr>
              <w:t xml:space="preserve">metadata </w:t>
            </w:r>
            <w:r>
              <w:rPr>
                <w:sz w:val="22"/>
                <w:szCs w:val="22"/>
                <w:highlight w:val="white"/>
              </w:rPr>
              <w:t>file into a phyloseq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vegan_otu</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Creates a community matrix in the vegan package style using a phyloseq object and an otu_table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custom_rarefaction</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Rarefies a phyloseq object to a custom sample depth and with a given number of replicates</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pairwise_adonis</w:t>
            </w:r>
            <w:r>
              <w:rPr>
                <w:sz w:val="22"/>
                <w:szCs w:val="22"/>
                <w:highlight w:val="white"/>
                <w:vertAlign w:val="superscript"/>
              </w:rPr>
              <w:t>1</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Wrapper function for multilevel pairwise comparison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ggrare</w:t>
            </w:r>
            <w:r>
              <w:rPr>
                <w:sz w:val="22"/>
                <w:szCs w:val="22"/>
                <w:vertAlign w:val="superscript"/>
              </w:rPr>
              <w:t>2</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Makes a rarefaction curve using ggplot2</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runRanacapaApp</w:t>
            </w:r>
          </w:p>
        </w:tc>
        <w:tc>
          <w:tcPr>
            <w:tcW w:w="5755"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Runs the ranacapa Shiny app with tabs for interactive visualizations and statistical analyses</w:t>
            </w:r>
          </w:p>
        </w:tc>
      </w:tr>
    </w:tbl>
    <w:p>
      <w:pPr>
        <w:pStyle w:val="TextBody"/>
        <w:spacing w:lineRule="auto" w:line="288" w:before="0" w:after="200"/>
        <w:ind w:hanging="0"/>
        <w:rPr/>
      </w:pPr>
      <w:r>
        <w:rPr>
          <w:sz w:val="22"/>
          <w:szCs w:val="22"/>
          <w:vertAlign w:val="superscript"/>
        </w:rPr>
        <w:t>1</w:t>
      </w:r>
      <w:r>
        <w:rPr>
          <w:sz w:val="22"/>
          <w:szCs w:val="22"/>
          <w:vertAlign w:val="subscript"/>
        </w:rPr>
        <w:t xml:space="preserve"> </w:t>
      </w:r>
      <w:r>
        <w:rPr>
          <w:sz w:val="22"/>
          <w:szCs w:val="22"/>
        </w:rPr>
        <w:t xml:space="preserve">adopted from </w:t>
      </w:r>
      <w:hyperlink r:id="rId14">
        <w:r>
          <w:rPr>
            <w:rStyle w:val="InternetLink"/>
            <w:color w:val="1155CC"/>
            <w:sz w:val="22"/>
            <w:szCs w:val="22"/>
            <w:u w:val="single"/>
          </w:rPr>
          <w:t>https://github.com/pmartinezarbizu/pairwiseAdonis</w:t>
        </w:r>
      </w:hyperlink>
      <w:r>
        <w:rPr>
          <w:sz w:val="22"/>
          <w:szCs w:val="22"/>
        </w:rPr>
        <w:t xml:space="preserve"> (GPL-3 License)</w:t>
      </w:r>
    </w:p>
    <w:p>
      <w:pPr>
        <w:pStyle w:val="TextBody"/>
        <w:spacing w:lineRule="auto" w:line="288" w:before="0" w:after="200"/>
        <w:ind w:hanging="0"/>
        <w:rPr/>
      </w:pPr>
      <w:r>
        <w:rPr>
          <w:sz w:val="22"/>
          <w:szCs w:val="22"/>
          <w:vertAlign w:val="superscript"/>
        </w:rPr>
        <w:t xml:space="preserve">2 </w:t>
      </w:r>
      <w:r>
        <w:rPr>
          <w:sz w:val="22"/>
          <w:szCs w:val="22"/>
        </w:rPr>
        <w:t xml:space="preserve">adopted from </w:t>
      </w:r>
      <w:hyperlink r:id="rId15">
        <w:r>
          <w:rPr>
            <w:rStyle w:val="InternetLink"/>
            <w:color w:val="1155CC"/>
            <w:sz w:val="22"/>
            <w:szCs w:val="22"/>
            <w:u w:val="single"/>
          </w:rPr>
          <w:t>https://github.com/mahendra-mariadassou/phyloseq-extended</w:t>
        </w:r>
      </w:hyperlink>
      <w:r>
        <w:rPr>
          <w:sz w:val="22"/>
          <w:szCs w:val="22"/>
        </w:rPr>
        <w:t xml:space="preserve"> (GPL-3 License)</w:t>
      </w:r>
      <w:r>
        <w:br w:type="page"/>
      </w:r>
    </w:p>
    <w:p>
      <w:pPr>
        <w:pStyle w:val="Heading2"/>
        <w:rPr/>
      </w:pPr>
      <w:bookmarkStart w:id="21" w:name="references"/>
      <w:bookmarkEnd w:id="21"/>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Barve, V. &amp; Hart, E. (2017). </w:t>
      </w:r>
      <w:r>
        <w:rPr>
          <w:i/>
        </w:rPr>
        <w:t>Rinat: Access iNaturalist data through apis</w:t>
      </w:r>
      <w:r>
        <w:rPr/>
        <w:t>.</w:t>
      </w:r>
    </w:p>
    <w:p>
      <w:pPr>
        <w:pStyle w:val="Bibliography"/>
        <w:rPr/>
      </w:pPr>
      <w:r>
        <w:rPr/>
        <w:t xml:space="preserve">Caporaso, J.G., Kuczynski, J., Stombaugh, J., Bittinger, K., Bushman, F.D. &amp; Costello, E.K. </w:t>
      </w:r>
      <w:r>
        <w:rPr>
          <w:i/>
        </w:rPr>
        <w:t>et al.</w:t>
      </w:r>
      <w:r>
        <w:rPr/>
        <w:t xml:space="preserve"> (2010). QIIME allows analysis of high-throughput community sequencing data. </w:t>
      </w:r>
      <w:r>
        <w:rPr>
          <w:i/>
        </w:rPr>
        <w:t>Nature Methods</w:t>
      </w:r>
      <w:r>
        <w:rPr/>
        <w:t>, 7, 335–336.</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Carey, M.A. &amp; Papin, J.A. (2018). Ten simple rules for biologists learning to program. </w:t>
      </w:r>
      <w:r>
        <w:rPr>
          <w:i/>
        </w:rPr>
        <w:t>PLOS Computational Biology</w:t>
      </w:r>
      <w:r>
        <w:rPr/>
        <w:t>, 14, e1005871.</w:t>
      </w:r>
    </w:p>
    <w:p>
      <w:pPr>
        <w:pStyle w:val="Bibliography"/>
        <w:rPr/>
      </w:pPr>
      <w:r>
        <w:rPr/>
        <w:t xml:space="preserve">Chamberlain, S.A. &amp; Szöcs, E. (2013). Taxize: Taxonomic search and retrieval in r. </w:t>
      </w:r>
      <w:r>
        <w:rPr>
          <w:i/>
        </w:rPr>
        <w:t>F1000Research</w:t>
      </w:r>
      <w:r>
        <w:rPr/>
        <w:t>.</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16">
        <w:r>
          <w:rPr>
            <w:rStyle w:val="InternetLink"/>
            <w:i/>
          </w:rPr>
          <w:t>https://ecsa.citizen-science.net/sites/default/files/ecsa_ten_principles_of_citizen_science.pdf</w:t>
        </w:r>
      </w:hyperlink>
      <w:r>
        <w:rPr/>
        <w:t>.</w:t>
      </w:r>
    </w:p>
    <w:p>
      <w:pPr>
        <w:pStyle w:val="Bibliography"/>
        <w:rPr/>
      </w:pPr>
      <w:r>
        <w:rPr/>
        <w:t xml:space="preserve">Galili, T., O’Callaghan, A., Sidi, J. &amp; Sievert, C. (2017). Heatmaply: An r package for creating interactive cluster heatmaps for online publishing. </w:t>
      </w:r>
      <w:r>
        <w:rPr>
          <w:i/>
        </w:rPr>
        <w:t>Bioinformatics</w:t>
      </w:r>
      <w:r>
        <w:rPr/>
        <w:t>, 34, 1600–1602.</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Kandlikar, G.S., Gold, Z.J., Cowen, M.C., Meyer, R.S., Freise, A.C. &amp; Kraft, N.J. </w:t>
      </w:r>
      <w:r>
        <w:rPr>
          <w:i/>
        </w:rPr>
        <w:t>et al.</w:t>
      </w:r>
      <w:r>
        <w:rPr/>
        <w:t xml:space="preserve"> (2018a). Taxon table and metadata file for Channel Islands eDNA samples (mitochondrial 12S and CO1 metabarcodes sequenced). </w:t>
      </w:r>
      <w:r>
        <w:rPr>
          <w:i/>
        </w:rPr>
        <w:t>Figshare</w:t>
      </w:r>
      <w:r>
        <w:rPr/>
        <w:t>, 10.6084/m9.figshare.7199477.v1.</w:t>
      </w:r>
    </w:p>
    <w:p>
      <w:pPr>
        <w:pStyle w:val="Bibliography"/>
        <w:rPr/>
      </w:pPr>
      <w:r>
        <w:rPr/>
        <w:t xml:space="preserve">Kandlikar, G.S., Gold, Z.J., Cowen, M.C., Meyer, R.S., Freise, A.C. &amp; Kraft, N.J. </w:t>
      </w:r>
      <w:r>
        <w:rPr>
          <w:i/>
        </w:rPr>
        <w:t>et al.</w:t>
      </w:r>
      <w:r>
        <w:rPr/>
        <w:t xml:space="preserve"> (2018b). Taxon table and metadata file for Santa Monica Mountains eDNA samples (16S and plant-ITS metabarcodes sequenced). </w:t>
      </w:r>
      <w:r>
        <w:rPr>
          <w:i/>
        </w:rPr>
        <w:t>Figshare</w:t>
      </w:r>
      <w:r>
        <w:rPr/>
        <w:t>, 10.6084/m9.figshare.7199510.v1.</w:t>
      </w:r>
    </w:p>
    <w:p>
      <w:pPr>
        <w:pStyle w:val="Bibliography"/>
        <w:rPr/>
      </w:pPr>
      <w:r>
        <w:rPr/>
        <w:t xml:space="preserve">Langille, M.G.I., Zaneveld, J., Caporaso, J.G., McDonald, D., Knights, D. &amp; Reyes, J.A. </w:t>
      </w:r>
      <w:r>
        <w:rPr>
          <w:i/>
        </w:rPr>
        <w:t>et al.</w:t>
      </w:r>
      <w:r>
        <w:rPr/>
        <w:t xml:space="preserve"> (2013). Predictive functional profiling of microbial communities using 16S rRNA marker gene sequences. </w:t>
      </w:r>
      <w:r>
        <w:rPr>
          <w:i/>
        </w:rPr>
        <w:t>Nature Biotechnology</w:t>
      </w:r>
      <w:r>
        <w:rPr/>
        <w:t>, 31, 814–821.</w:t>
      </w:r>
    </w:p>
    <w:p>
      <w:pPr>
        <w:pStyle w:val="Bibliography"/>
        <w:rPr/>
      </w:pPr>
      <w:r>
        <w:rPr/>
        <w:t xml:space="preserve">Leray, M., Yang, J.Y., Meyer, C.P., Mills, S.C., Agudelo, N. &amp; Ranwez, V. </w:t>
      </w:r>
      <w:r>
        <w:rPr>
          <w:i/>
        </w:rPr>
        <w:t>et al.</w:t>
      </w:r>
      <w:r>
        <w:rPr/>
        <w:t xml:space="preserve"> (2013). A new versatile primer set targeting a short fragment of the mitochondrial COI region for metabarcoding metazoan diversity: Application for characterizing coral reef fish gut contents. </w:t>
      </w:r>
      <w:r>
        <w:rPr>
          <w:i/>
        </w:rPr>
        <w:t>Frontiers in Zoology</w:t>
      </w:r>
      <w:r>
        <w:rPr/>
        <w:t>, 10, 34.</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Miya, M., Sato, Y., Fukunaga, T., Sado, T., Poulsen, J.Y. &amp; Sato, K. </w:t>
      </w:r>
      <w:r>
        <w:rPr>
          <w:i/>
        </w:rPr>
        <w:t>et al.</w:t>
      </w:r>
      <w:r>
        <w:rPr/>
        <w:t xml:space="preserve"> (2015). MiFish, a set of universal PCR primers for metabarcoding environmental DNA from fishes: Detection of more than 230 subtropical marine species. </w:t>
      </w:r>
      <w:r>
        <w:rPr>
          <w:i/>
        </w:rPr>
        <w:t>Royal Society Open Science</w:t>
      </w:r>
      <w:r>
        <w:rPr/>
        <w:t>, 2, 150088.</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Parks, D.H., Tyson, G.W., Hugenholtz, P. &amp; Beiko, R.G. (2014). STAMP: Statistical analysis of taxonomic and functional profiles. </w:t>
      </w:r>
      <w:r>
        <w:rPr>
          <w:i/>
        </w:rPr>
        <w:t>Bioinformatics</w:t>
      </w:r>
      <w:r>
        <w:rPr/>
        <w:t>, 30, 3123–3124.</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ithub.com/limey-bean/Anacapa" TargetMode="External"/><Relationship Id="rId8" Type="http://schemas.openxmlformats.org/officeDocument/2006/relationships/hyperlink" Target="https://gauravsk.shinyapps.io/ranacapa" TargetMode="External"/><Relationship Id="rId9" Type="http://schemas.openxmlformats.org/officeDocument/2006/relationships/hyperlink" Target="https://github.com/gauravsk/ranacapa" TargetMode="External"/><Relationship Id="rId10" Type="http://schemas.openxmlformats.org/officeDocument/2006/relationships/hyperlink" Target="https://doi.org/10.6084/m9.figshare.7199477" TargetMode="External"/><Relationship Id="rId11" Type="http://schemas.openxmlformats.org/officeDocument/2006/relationships/hyperlink" Target="https://doi.org/10.6084/m9.figshare.7199510.v1" TargetMode="External"/><Relationship Id="rId12" Type="http://schemas.openxmlformats.org/officeDocument/2006/relationships/hyperlink" Target="https://github.com/mahendra-mariadassou/phyloseq-extended" TargetMode="External"/><Relationship Id="rId13" Type="http://schemas.openxmlformats.org/officeDocument/2006/relationships/hyperlink" Target="https://github.com/pmartinezarbizu/pairwiseAdonis" TargetMode="External"/><Relationship Id="rId14" Type="http://schemas.openxmlformats.org/officeDocument/2006/relationships/hyperlink" Target="https://github.com/pmartinezarbizu/pairwiseAdonis" TargetMode="External"/><Relationship Id="rId15" Type="http://schemas.openxmlformats.org/officeDocument/2006/relationships/hyperlink" Target="https://github.com/mahendra-mariadassou/phyloseq-extended" TargetMode="External"/><Relationship Id="rId16" Type="http://schemas.openxmlformats.org/officeDocument/2006/relationships/hyperlink" Target="https://ecsa.citizen-science.net/sites/default/files/ecsa_ten_principles_of_citizen_science.pdf"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19</Pages>
  <Words>3909</Words>
  <Characters>23796</Characters>
  <CharactersWithSpaces>28205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2018-10-14T21:15:33Z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2018-10-14T14:29:59Z</dcterms:modified>
  <cp:revision>7</cp:revision>
  <dc:subject/>
  <dc:title>ranacapa: An R package and Shiny web app to explore environmental DNA data with exploratory statistics and interactive visualizations</dc:title>
</cp:coreProperties>
</file>