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FirstParagraph"/>
        <w:rPr/>
      </w:pPr>
      <w:r>
        <w:rPr/>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National Park Service</w:t>
      </w:r>
    </w:p>
    <w:p>
      <w:pPr>
        <w:pStyle w:val="FirstParagraph"/>
        <w:ind w:left="0" w:right="0" w:hanging="0"/>
        <w:rPr/>
      </w:pPr>
      <w:r>
        <w:rPr/>
        <w:t>(+) Corresponding Author</w:t>
      </w:r>
    </w:p>
    <w:p>
      <w:pPr>
        <w:pStyle w:val="Compact"/>
        <w:numPr>
          <w:ilvl w:val="0"/>
          <w:numId w:val="2"/>
        </w:numPr>
        <w:rPr/>
      </w:pPr>
      <w:r>
        <w:rPr/>
        <w:t xml:space="preserve">Email: </w:t>
      </w:r>
      <w:hyperlink r:id="rId2">
        <w:r>
          <w:rPr>
            <w:rStyle w:val="InternetLink"/>
          </w:rPr>
          <w:t>gkandlikar@ucla.edu</w:t>
        </w:r>
      </w:hyperlink>
    </w:p>
    <w:p>
      <w:pPr>
        <w:pStyle w:val="Compact"/>
        <w:numPr>
          <w:ilvl w:val="0"/>
          <w:numId w:val="2"/>
        </w:numPr>
        <w:rPr/>
      </w:pPr>
      <w:r>
        <w:rPr/>
        <w:t>Phone: (+1) 952-288-7351</w:t>
      </w:r>
    </w:p>
    <w:p>
      <w:pPr>
        <w:pStyle w:val="Compact"/>
        <w:numPr>
          <w:ilvl w:val="0"/>
          <w:numId w:val="2"/>
        </w:numPr>
        <w:rPr/>
      </w:pPr>
      <w:r>
        <w:rPr/>
        <w:t>Mailing Address: Dept. of Ecology &amp; Evolutionary Biology, 621 Charles E. Young Drive S., Los Angeles, CA 90095</w:t>
      </w:r>
    </w:p>
    <w:p>
      <w:pPr>
        <w:pStyle w:val="FirstParagraph"/>
        <w:ind w:left="0" w:right="0" w:hanging="0"/>
        <w:rPr/>
      </w:pPr>
      <w:r>
        <w:rPr>
          <w:b/>
        </w:rPr>
        <w:t>Keywords</w:t>
      </w:r>
      <w:r>
        <w:rPr/>
        <w:t>: environmental DNA; data visualization; citizen science; community science; shiny; metabarcoding; education; community ecology</w:t>
      </w:r>
    </w:p>
    <w:p>
      <w:pPr>
        <w:pStyle w:val="Heading2"/>
        <w:rPr/>
      </w:pPr>
      <w:bookmarkStart w:id="1" w:name="abstract"/>
      <w:bookmarkEnd w:id="1"/>
      <w:r>
        <w:rPr/>
        <w:t>Abstract</w:t>
      </w:r>
    </w:p>
    <w:p>
      <w:pPr>
        <w:pStyle w:val="FirstParagraph"/>
        <w:rPr/>
      </w:pPr>
      <w:r>
        <w:rPr/>
        <w:t xml:space="preserve">Environmental DNA (eDNA) metabarcoding is becoming a core tool in ecology and conservation biology, and is being used in a growing number of community science programs that engage non-professional scientists in primary research. Results from eDNA analyses can engage and educate natural resource managers, students, community scientists, and naturalists, but without significant training in bioinformatics, it can be difficult for this diverse audience to interact with these analyses. Here we present the R package </w:t>
      </w:r>
      <w:r>
        <w:rPr>
          <w:rStyle w:val="VerbatimChar"/>
        </w:rPr>
        <w:t>ranacapa</w:t>
      </w:r>
      <w:r>
        <w:rPr/>
        <w:t xml:space="preserve">, at the core of which is a Shiny web-app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scientists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environmental DNA extracted from field-collected soil, water, or sediment samples can yield insight into a range of questions, ranging from profiling the composition of ancient plant and animal communities (Pedersen </w:t>
      </w:r>
      <w:r>
        <w:rPr>
          <w:i/>
        </w:rPr>
        <w:t>et al.</w:t>
      </w:r>
      <w:r>
        <w:rPr/>
        <w:t xml:space="preserve"> 2014), to motoring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eDNA metabacoding-based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community science programs.</w:t>
      </w:r>
    </w:p>
    <w:p>
      <w:pPr>
        <w:pStyle w:val="TextBody"/>
        <w:rPr/>
      </w:pPr>
      <w:r>
        <w:rPr/>
        <w:t xml:space="preserve">To address this challenge, we created an R package “ranacapa”, at the core of which is a Shiny webapp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core and includes links to additional educational resources. </w:t>
      </w:r>
      <w:r>
        <w:rPr>
          <w:rStyle w:val="VerbatimChar"/>
        </w:rPr>
        <w:t>ranacapa</w:t>
      </w:r>
      <w:r>
        <w:rPr/>
        <w:t xml:space="preserve"> works with community matrices generated via QIIME [Caporaso_2010] or the Anacapa sequence analysis pipeline (</w:t>
      </w:r>
      <w:hyperlink r:id="rId5">
        <w:r>
          <w:rPr>
            <w:rStyle w:val="InternetLink"/>
          </w:rPr>
          <w:t>https://github.com/limey-bean/Anacapa</w:t>
        </w:r>
      </w:hyperlink>
      <w:r>
        <w:rPr/>
        <w:t>), which is used extensively by the CALeDNA program.</w:t>
      </w:r>
    </w:p>
    <w:p>
      <w:pPr>
        <w:pStyle w:val="TextBody"/>
        <w:rPr/>
      </w:pPr>
      <w:r>
        <w:rPr/>
        <w:t>In the remainder of this manuscript,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webapp (Chang </w:t>
      </w:r>
      <w:r>
        <w:rPr>
          <w:i/>
        </w:rPr>
        <w:t>et al.</w:t>
      </w:r>
      <w:r>
        <w:rPr/>
        <w:t xml:space="preserve"> (2018)), which is avialable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Github or CRAN:</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where the color of each cell represents the number of times a given taxon was sequenced in a sample (Figure 2). Users can filter the taxon list by selecting or deselecting specific taxa.</w:t>
      </w:r>
    </w:p>
    <w:p>
      <w:pPr>
        <w:pStyle w:val="Normal"/>
        <w:numPr>
          <w:ilvl w:val="0"/>
          <w:numId w:val="3"/>
        </w:numPr>
        <w:rPr/>
      </w:pPr>
      <w:r>
        <w:rPr>
          <w:b/>
        </w:rPr>
        <w:t>Taxonomy barplot</w:t>
      </w:r>
      <w:r>
        <w:rPr/>
        <w:t>: Shows the taxonomy-by-sample matrix as an interactive barplot (Figure 3).</w:t>
      </w:r>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as ordination made with </w:t>
      </w:r>
      <w:r>
        <w:rPr>
          <w:rStyle w:val="VerbatimChar"/>
        </w:rPr>
        <w:t>phyloseq::ordinate(., method = "PCoA")</w:t>
      </w:r>
      <w:r>
        <w:rPr/>
        <w:t>. Points on the PCoA plot are colored according to a user-selected metadata variable (Figure 5).</w:t>
      </w:r>
    </w:p>
    <w:p>
      <w:pPr>
        <w:pStyle w:val="FirstParagraph"/>
        <w:rPr/>
      </w:pPr>
      <w:r>
        <w:rPr/>
        <w:t>This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Compact"/>
        <w:numPr>
          <w:ilvl w:val="0"/>
          <w:numId w:val="4"/>
        </w:numPr>
        <w:rPr/>
      </w:pPr>
      <w:r>
        <w:rPr>
          <w:b/>
        </w:rPr>
        <w:t>Beta diversity statistics</w:t>
      </w:r>
      <w:r>
        <w:rPr/>
        <w:t xml:space="preserve">: Shows results from two statistical tests of species turnover across site. The first statistical test is a multivariate ANOVA implemented with </w:t>
      </w:r>
      <w:r>
        <w:rPr>
          <w:rStyle w:val="VerbatimChar"/>
        </w:rPr>
        <w:t>vegan::adonis())</w:t>
      </w:r>
      <w:r>
        <w:rPr/>
        <w:t xml:space="preserve">, which shows results from a statistical test of taxon turnover across sites. The second statistical test is of heterogeneity of variances among samples implemented with </w:t>
      </w:r>
      <w:r>
        <w:rPr>
          <w:rStyle w:val="VerbatimChar"/>
        </w:rPr>
        <w:t>vegan::betadisper()</w:t>
      </w:r>
      <w:r>
        <w:rPr/>
        <w:t>, dthat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w:t>
      </w:r>
      <w:hyperlink r:id="rId7">
        <w:r>
          <w:rPr>
            <w:rStyle w:val="InternetLink"/>
          </w:rPr>
          <w:t>https://github.com/limey-bean/Anacapa</w:t>
        </w:r>
      </w:hyperlink>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 A valid input file is structured as follows:</w:t>
      </w:r>
    </w:p>
    <w:p>
      <w:pPr>
        <w:pStyle w:val="SourceCode"/>
        <w:rPr/>
      </w:pPr>
      <w:commentRangeStart w:id="0"/>
      <w:r>
        <w:rPr>
          <w:rStyle w:val="VerbatimChar"/>
        </w:rPr>
        <w:t>##                                                                               sum.taxonomy</w:t>
      </w:r>
      <w:r>
        <w:rPr/>
        <w:br/>
      </w:r>
      <w:r>
        <w:rPr>
          <w:rStyle w:val="VerbatimChar"/>
        </w:rPr>
        <w:t>## 413  Chordata;Actinopteri;Chaetodontiformes;Chaetodontidae;Chaetodon;Chaetodon reticulatus</w:t>
      </w:r>
      <w:r>
        <w:rPr/>
        <w:br/>
      </w:r>
      <w:r>
        <w:rPr>
          <w:rStyle w:val="VerbatimChar"/>
        </w:rPr>
        <w:t>## 1133  NA;Florideophyceae;Ceramiales;Delesseriaceae;Membranoptera;Membranoptera platyphylla</w:t>
      </w:r>
      <w:r>
        <w:rPr/>
        <w:br/>
      </w:r>
      <w:r>
        <w:rPr>
          <w:rStyle w:val="VerbatimChar"/>
        </w:rPr>
        <w:t>## 588                  Chordata;Actinopteri;Lutjaniformes;Lutjanidae;Aphareus;Aphareus furca</w:t>
      </w:r>
      <w:r>
        <w:rPr/>
        <w:br/>
      </w:r>
      <w:r>
        <w:rPr>
          <w:rStyle w:val="VerbatimChar"/>
        </w:rPr>
        <w:t>## 1269          NA;Oomycetes;Peronosporales;Peronosporaceae;Calycofera;Calycofera operculata</w:t>
      </w:r>
      <w:r>
        <w:rPr/>
        <w:br/>
      </w:r>
      <w:r>
        <w:rPr>
          <w:rStyle w:val="VerbatimChar"/>
        </w:rPr>
        <w:t>## 1351             Phaeophyceae;NA;Ectocarpales;Chordariaceae;NA;Chordariaceae sp. 2 AP-2014</w:t>
      </w:r>
      <w:r>
        <w:rPr/>
        <w:br/>
      </w:r>
      <w:r>
        <w:rPr>
          <w:rStyle w:val="VerbatimChar"/>
        </w:rPr>
        <w:t>## 66                                                     Arthropoda;Insecta;Lepidoptera;NA;;</w:t>
      </w:r>
      <w:r>
        <w:rPr/>
        <w:br/>
      </w:r>
      <w:r>
        <w:rPr>
          <w:rStyle w:val="VerbatimChar"/>
        </w:rPr>
        <w:t>## 759     Chordata;Actinopteri;Perciformes;Scorpaenidae;Sebastapistes;Sebastapistes tinkhami</w:t>
      </w:r>
      <w:r>
        <w:rPr/>
        <w:br/>
      </w:r>
      <w:r>
        <w:rPr>
          <w:rStyle w:val="VerbatimChar"/>
        </w:rPr>
        <w:t>## 1282                       NA;Oomycetes;Pythiales;Pythiaceae;Pythium;Pythium aff. diclinum</w:t>
      </w:r>
      <w:r>
        <w:rPr/>
        <w:br/>
      </w:r>
      <w:r>
        <w:rPr>
          <w:rStyle w:val="VerbatimChar"/>
        </w:rPr>
        <w:t>## 792       Chordata;Actinopteri;Perciformes;Zaniolepididae;Zaniolepis;Zaniolepis latipinnis</w:t>
      </w:r>
      <w:r>
        <w:rPr/>
        <w:br/>
      </w:r>
      <w:r>
        <w:rPr>
          <w:rStyle w:val="VerbatimChar"/>
        </w:rPr>
        <w:t>## 656           Chordata;Actinopteri;NA;Pomacanthidae;Pomacanthus;Pomacanthus semicirculatus</w:t>
      </w:r>
      <w:r>
        <w:rPr/>
        <w:br/>
      </w:r>
      <w:r>
        <w:rPr>
          <w:rStyle w:val="VerbatimChar"/>
        </w:rPr>
        <w:t>##      Arch_point_1 Arch_point_2 Black_seabass_reef_1 Black_seabass_reef_2</w:t>
      </w:r>
      <w:r>
        <w:rPr/>
        <w:br/>
      </w:r>
      <w:r>
        <w:rPr>
          <w:rStyle w:val="VerbatimChar"/>
        </w:rPr>
        <w:t>## 413             0            0                    0                    0</w:t>
      </w:r>
      <w:r>
        <w:rPr/>
        <w:br/>
      </w:r>
      <w:r>
        <w:rPr>
          <w:rStyle w:val="VerbatimChar"/>
        </w:rPr>
        <w:t>## 1133            0            0                   43                   87</w:t>
      </w:r>
      <w:r>
        <w:rPr/>
        <w:br/>
      </w:r>
      <w:r>
        <w:rPr>
          <w:rStyle w:val="VerbatimChar"/>
        </w:rPr>
        <w:t>## 588             0            0                    0                    0</w:t>
      </w:r>
      <w:r>
        <w:rPr/>
        <w:br/>
      </w:r>
      <w:r>
        <w:rPr>
          <w:rStyle w:val="VerbatimChar"/>
        </w:rPr>
        <w:t>## 1269            0            0                    0                    0</w:t>
      </w:r>
      <w:r>
        <w:rPr/>
        <w:br/>
      </w:r>
      <w:r>
        <w:rPr>
          <w:rStyle w:val="VerbatimChar"/>
        </w:rPr>
        <w:t>## 1351           24           36                   30                   16</w:t>
      </w:r>
      <w:r>
        <w:rPr/>
        <w:br/>
      </w:r>
      <w:r>
        <w:rPr>
          <w:rStyle w:val="VerbatimChar"/>
        </w:rPr>
        <w:t>## 66              0            0                    0                    0</w:t>
      </w:r>
      <w:r>
        <w:rPr/>
        <w:br/>
      </w:r>
      <w:r>
        <w:rPr>
          <w:rStyle w:val="VerbatimChar"/>
        </w:rPr>
        <w:t>## 759             0            0                    0                    0</w:t>
      </w:r>
      <w:r>
        <w:rPr/>
        <w:br/>
      </w:r>
      <w:r>
        <w:rPr>
          <w:rStyle w:val="VerbatimChar"/>
        </w:rPr>
        <w:t>## 1282            0            0                   16                  177</w:t>
      </w:r>
      <w:r>
        <w:rPr/>
        <w:br/>
      </w:r>
      <w:r>
        <w:rPr>
          <w:rStyle w:val="VerbatimChar"/>
        </w:rPr>
        <w:t>## 792             0            0                    0                    0</w:t>
      </w:r>
      <w:r>
        <w:rPr/>
        <w:br/>
      </w:r>
      <w:r>
        <w:rPr>
          <w:rStyle w:val="VerbatimChar"/>
        </w:rPr>
        <w:t>## 656             0            0                    0                    0</w:t>
      </w:r>
      <w:r>
        <w:rPr/>
        <w:br/>
      </w:r>
      <w:r>
        <w:rPr>
          <w:rStyle w:val="VerbatimChar"/>
        </w:rPr>
        <w:t>##      Cat_canyon_1</w:t>
      </w:r>
      <w:r>
        <w:rPr/>
        <w:br/>
      </w:r>
      <w:r>
        <w:rPr>
          <w:rStyle w:val="VerbatimChar"/>
        </w:rPr>
        <w:t>## 413             0</w:t>
      </w:r>
      <w:r>
        <w:rPr/>
        <w:br/>
      </w:r>
      <w:r>
        <w:rPr>
          <w:rStyle w:val="VerbatimChar"/>
        </w:rPr>
        <w:t>## 1133            0</w:t>
      </w:r>
      <w:r>
        <w:rPr/>
        <w:br/>
      </w:r>
      <w:r>
        <w:rPr>
          <w:rStyle w:val="VerbatimChar"/>
        </w:rPr>
        <w:t>## 588             0</w:t>
      </w:r>
      <w:r>
        <w:rPr/>
        <w:br/>
      </w:r>
      <w:r>
        <w:rPr>
          <w:rStyle w:val="VerbatimChar"/>
        </w:rPr>
        <w:t>## 1269            0</w:t>
      </w:r>
      <w:r>
        <w:rPr/>
        <w:br/>
      </w:r>
      <w:r>
        <w:rPr>
          <w:rStyle w:val="VerbatimChar"/>
        </w:rPr>
        <w:t>## 1351           13</w:t>
      </w:r>
      <w:r>
        <w:rPr/>
        <w:br/>
      </w:r>
      <w:r>
        <w:rPr>
          <w:rStyle w:val="VerbatimChar"/>
        </w:rPr>
        <w:t>## 66              0</w:t>
      </w:r>
      <w:r>
        <w:rPr/>
        <w:br/>
      </w:r>
      <w:r>
        <w:rPr>
          <w:rStyle w:val="VerbatimChar"/>
        </w:rPr>
        <w:t>## 759             0</w:t>
      </w:r>
      <w:r>
        <w:rPr/>
        <w:br/>
      </w:r>
      <w:r>
        <w:rPr>
          <w:rStyle w:val="VerbatimChar"/>
        </w:rPr>
        <w:t>## 1282            0</w:t>
      </w:r>
      <w:r>
        <w:rPr/>
        <w:br/>
      </w:r>
      <w:r>
        <w:rPr>
          <w:rStyle w:val="VerbatimChar"/>
        </w:rPr>
        <w:t>## 792             0</w:t>
      </w:r>
      <w:r>
        <w:rPr/>
        <w:br/>
      </w:r>
      <w:r>
        <w:rPr>
          <w:rStyle w:val="VerbatimChar"/>
        </w:rPr>
        <w:t>## 656             0</w:t>
      </w:r>
    </w:p>
    <w:p>
      <w:pPr>
        <w:pStyle w:val="FirstParagraph"/>
        <w:rPr/>
      </w:pPr>
      <w:r>
        <w:rPr/>
      </w:r>
      <w:commentRangeEnd w:id="0"/>
      <w:r>
        <w:commentReference w:id="0"/>
      </w: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rPr/>
      </w:pPr>
      <w:r>
        <w:rPr>
          <w:rStyle w:val="VerbatimChar"/>
        </w:rPr>
        <w:t>##                  Sample Sample_or_Control         Island  Protection</w:t>
      </w:r>
      <w:r>
        <w:rPr/>
        <w:br/>
      </w:r>
      <w:r>
        <w:rPr>
          <w:rStyle w:val="VerbatimChar"/>
        </w:rPr>
        <w:t>## 16 Black_seabass_reef_1            Sample        Anacapa         MPA</w:t>
      </w:r>
      <w:r>
        <w:rPr/>
        <w:br/>
      </w:r>
      <w:r>
        <w:rPr>
          <w:rStyle w:val="VerbatimChar"/>
        </w:rPr>
        <w:t>## 17         Arch_point_1            Sample Santa Barabara unprotected</w:t>
      </w:r>
      <w:r>
        <w:rPr/>
        <w:br/>
      </w:r>
      <w:r>
        <w:rPr>
          <w:rStyle w:val="VerbatimChar"/>
        </w:rPr>
        <w:t>## 18         Arch_point_2            Sample Santa Barabara unprotected</w:t>
      </w:r>
      <w:r>
        <w:rPr/>
        <w:br/>
      </w:r>
      <w:r>
        <w:rPr>
          <w:rStyle w:val="VerbatimChar"/>
        </w:rPr>
        <w:t>## 19         Cat_canyon_1            Sample Santa Barabara unprotected</w:t>
      </w:r>
      <w:r>
        <w:rPr/>
        <w:br/>
      </w:r>
      <w:r>
        <w:rPr>
          <w:rStyle w:val="VerbatimChar"/>
        </w:rPr>
        <w:t>## 35 Black_seabass_reef_2            Sample        Anacapa         MPA</w:t>
      </w:r>
      <w:r>
        <w:rPr/>
        <w:br/>
      </w:r>
      <w:r>
        <w:rPr>
          <w:rStyle w:val="VerbatimChar"/>
        </w:rPr>
        <w:t>##              Locality</w:t>
      </w:r>
      <w:r>
        <w:rPr/>
        <w:br/>
      </w:r>
      <w:r>
        <w:rPr>
          <w:rStyle w:val="VerbatimChar"/>
        </w:rPr>
        <w:t>## 16 Black_seabass_reef</w:t>
      </w:r>
      <w:r>
        <w:rPr/>
        <w:br/>
      </w:r>
      <w:r>
        <w:rPr>
          <w:rStyle w:val="VerbatimChar"/>
        </w:rPr>
        <w:t>## 17         Arch_point</w:t>
      </w:r>
      <w:r>
        <w:rPr/>
        <w:br/>
      </w:r>
      <w:r>
        <w:rPr>
          <w:rStyle w:val="VerbatimChar"/>
        </w:rPr>
        <w:t>## 18         Arch_point</w:t>
      </w:r>
      <w:r>
        <w:rPr/>
        <w:br/>
      </w:r>
      <w:r>
        <w:rPr>
          <w:rStyle w:val="VerbatimChar"/>
        </w:rPr>
        <w:t>## 19         Cat_canyon</w:t>
      </w:r>
      <w:r>
        <w:rPr/>
        <w:br/>
      </w:r>
      <w:r>
        <w:rPr>
          <w:rStyle w:val="VerbatimChar"/>
        </w:rPr>
        <w:t>## 35 Black_seabass_reef</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bioinformatic expertise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archers-and-natural-resource-managers"/>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rPr>
        <w:t>et al.</w:t>
      </w:r>
      <w:r>
        <w:rPr/>
        <w:t xml:space="preserve"> 2017). For this partnership, resource managers collected and filtered thirty-1L water samples for eDNA analysis at permanent monitoring sites inside and adjacent to protected areas, and research scientists at UCLA performed eDNA sequencing of the mitochondrial 12S and CO1 gene,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likely supplement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web-app and are available online at XXX.</w:t>
      </w:r>
    </w:p>
    <w:p>
      <w:pPr>
        <w:pStyle w:val="Heading3"/>
        <w:rPr/>
      </w:pPr>
      <w:bookmarkStart w:id="8" w:name="use-case-2-partnership-between-edna-researchers-and-an-undergraduate-microbiology-course"/>
      <w:bookmarkEnd w:id="8"/>
      <w:r>
        <w:rPr/>
        <w:t>Use Case 2: Partnership between eDNA researchers and an undergraduate microbiology course</w:t>
      </w:r>
    </w:p>
    <w:p>
      <w:pPr>
        <w:pStyle w:val="FirstParagraph"/>
        <w:rPr/>
      </w:pPr>
      <w:r>
        <w:rPr/>
        <w:t xml:space="preserve">A team of community ecology and environmental DNA researchers collaborate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most sophisticated tools such as STAMP (Parks </w:t>
      </w:r>
      <w:r>
        <w:rPr>
          <w:i/>
        </w:rPr>
        <w:t>et al.</w:t>
      </w:r>
      <w:r>
        <w:rPr/>
        <w:t xml:space="preserve"> 2014) and PICRUSt (Langille </w:t>
      </w:r>
      <w:r>
        <w:rPr>
          <w:i/>
        </w:rPr>
        <w:t>et al.</w:t>
      </w:r>
      <w:r>
        <w:rPr/>
        <w:t xml:space="preserve"> 2013). The taxonomy tables and metadata files used in this course are available online at XXXX.</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web-app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[Chamberlain_2013],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5"/>
        </w:numPr>
        <w:rPr/>
      </w:pPr>
      <w:r>
        <w:rPr/>
        <w:t xml:space="preserve">A Shiny web-app, including a dataset generated for demonstrations, is available at </w:t>
      </w:r>
      <w:hyperlink r:id="rId8">
        <w:r>
          <w:rPr>
            <w:rStyle w:val="InternetLink"/>
          </w:rPr>
          <w:t>https://gauravsk.shinyapps.io/ranacapa</w:t>
        </w:r>
      </w:hyperlink>
    </w:p>
    <w:p>
      <w:pPr>
        <w:pStyle w:val="Compact"/>
        <w:numPr>
          <w:ilvl w:val="0"/>
          <w:numId w:val="5"/>
        </w:numPr>
        <w:rPr/>
      </w:pPr>
      <w:r>
        <w:rPr>
          <w:rStyle w:val="VerbatimChar"/>
        </w:rPr>
        <w:t>ranacapa</w:t>
      </w:r>
      <w:r>
        <w:rPr/>
        <w:t xml:space="preserve"> is available for installation at </w:t>
      </w:r>
      <w:hyperlink r:id="rId9">
        <w:r>
          <w:rPr>
            <w:rStyle w:val="InternetLink"/>
          </w:rPr>
          <w:t>https://github.com/gauravsk/ranacapa</w:t>
        </w:r>
      </w:hyperlink>
    </w:p>
    <w:p>
      <w:pPr>
        <w:pStyle w:val="Compact"/>
        <w:numPr>
          <w:ilvl w:val="0"/>
          <w:numId w:val="5"/>
        </w:numPr>
        <w:rPr/>
      </w:pPr>
      <w:r>
        <w:rPr/>
        <w:t>Link to source code as at time of publication (F1000Research TO GENERATE)</w:t>
      </w:r>
    </w:p>
    <w:p>
      <w:pPr>
        <w:pStyle w:val="Compact"/>
        <w:numPr>
          <w:ilvl w:val="0"/>
          <w:numId w:val="5"/>
        </w:numPr>
        <w:rPr/>
      </w:pPr>
      <w:r>
        <w:rPr/>
        <w:t>Link to archived source code as at time of publication (F1000Research TO GENERATE)</w:t>
      </w:r>
    </w:p>
    <w:p>
      <w:pPr>
        <w:pStyle w:val="Compact"/>
        <w:numPr>
          <w:ilvl w:val="0"/>
          <w:numId w:val="5"/>
        </w:numPr>
        <w:rPr/>
      </w:pPr>
      <w:r>
        <w:rPr/>
        <w:t>Software license (GPL-3)</w:t>
      </w:r>
    </w:p>
    <w:p>
      <w:pPr>
        <w:pStyle w:val="Compact"/>
        <w:numPr>
          <w:ilvl w:val="0"/>
          <w:numId w:val="5"/>
        </w:numPr>
        <w:rPr/>
      </w:pPr>
      <w:r>
        <w:rPr/>
        <w:t>Data availability</w:t>
      </w:r>
    </w:p>
    <w:p>
      <w:pPr>
        <w:pStyle w:val="Compact"/>
        <w:numPr>
          <w:ilvl w:val="0"/>
          <w:numId w:val="5"/>
        </w:numPr>
        <w:rPr/>
      </w:pPr>
      <w:r>
        <w:rPr/>
        <w:t>Figshare: [DOI]</w:t>
      </w:r>
    </w:p>
    <w:p>
      <w:pPr>
        <w:pStyle w:val="Compact"/>
        <w:numPr>
          <w:ilvl w:val="0"/>
          <w:numId w:val="5"/>
        </w:numPr>
        <w:rPr/>
      </w:pPr>
      <w:r>
        <w:rPr/>
        <w:t>License: CC-BY 4.0</w:t>
      </w:r>
    </w:p>
    <w:p>
      <w:pPr>
        <w:pStyle w:val="Heading2"/>
        <w:rPr/>
      </w:pPr>
      <w:bookmarkStart w:id="11" w:name="author-contributions"/>
      <w:bookmarkEnd w:id="11"/>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2" w:name="competing-interests"/>
      <w:bookmarkEnd w:id="12"/>
      <w:r>
        <w:rPr/>
        <w:t>Competing interests</w:t>
      </w:r>
    </w:p>
    <w:p>
      <w:pPr>
        <w:pStyle w:val="FirstParagraph"/>
        <w:rPr/>
      </w:pPr>
      <w:r>
        <w:rPr/>
        <w:t>No competing interests were disclosed</w:t>
      </w:r>
    </w:p>
    <w:p>
      <w:pPr>
        <w:pStyle w:val="Heading2"/>
        <w:rPr/>
      </w:pPr>
      <w:bookmarkStart w:id="13" w:name="grant-information"/>
      <w:bookmarkEnd w:id="13"/>
      <w:r>
        <w:rPr/>
        <w:t>Grant information</w:t>
      </w:r>
    </w:p>
    <w:p>
      <w:pPr>
        <w:pStyle w:val="FirstParagraph"/>
        <w:rPr/>
      </w:pPr>
      <w:r>
        <w:rPr/>
        <w:t>GSK and ZJG were supported by the US-NSF Graduate Research Fellowship (DEG No. 1650604). EEC is supported by the CALeDNA program, with funds from University of California President’s Research Catalyst Award (CA-16-376437).</w:t>
      </w:r>
    </w:p>
    <w:p>
      <w:pPr>
        <w:pStyle w:val="Heading2"/>
        <w:rPr/>
      </w:pPr>
      <w:bookmarkStart w:id="14" w:name="acknowledgments"/>
      <w:bookmarkEnd w:id="14"/>
      <w:r>
        <w:rPr/>
        <w:t>Acknowledgments</w:t>
      </w:r>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10">
        <w:r>
          <w:rPr>
            <w:rStyle w:val="InternetLink"/>
          </w:rPr>
          <w:t>https://github.com/mahendra-mariadassou/phyloseq-extended</w:t>
        </w:r>
      </w:hyperlink>
      <w:r>
        <w:rPr/>
        <w:t xml:space="preserve">) and </w:t>
      </w:r>
      <w:r>
        <w:rPr>
          <w:rStyle w:val="VerbatimChar"/>
        </w:rPr>
        <w:t>pairwiseAdonis</w:t>
      </w:r>
      <w:r>
        <w:rPr/>
        <w:t xml:space="preserve"> (</w:t>
      </w:r>
      <w:hyperlink r:id="rId11">
        <w:r>
          <w:rPr>
            <w:rStyle w:val="InternetLink"/>
          </w:rPr>
          <w:t>https://github.com/pmartinezarbizu/pairwiseAdonis</w:t>
        </w:r>
      </w:hyperlink>
      <w:r>
        <w:rPr/>
        <w:t>) packages openly available with a GPL-3 License.</w:t>
      </w:r>
    </w:p>
    <w:p>
      <w:pPr>
        <w:pStyle w:val="TextBody"/>
        <w:rPr/>
      </w:pPr>
      <w:r>
        <w:rPr/>
      </w:r>
    </w:p>
    <w:p>
      <w:pPr>
        <w:pStyle w:val="Heading2"/>
        <w:rPr/>
      </w:pPr>
      <w:bookmarkStart w:id="15" w:name="figures"/>
      <w:bookmarkEnd w:id="15"/>
      <w:r>
        <w:rPr/>
        <w:t>Figures</w:t>
      </w:r>
    </w:p>
    <w:p>
      <w:pPr>
        <w:pStyle w:val="Heading4"/>
        <w:rPr/>
      </w:pPr>
      <w:bookmarkStart w:id="16" w:name="figure-1"/>
      <w:bookmarkEnd w:id="16"/>
      <w:r>
        <w:rPr/>
        <w:t>Figure 1</w:t>
      </w:r>
    </w:p>
    <w:p>
      <w:pPr>
        <w:pStyle w:val="SourceCode"/>
        <w:rPr/>
      </w:pPr>
      <w:r>
        <w:rPr>
          <w:rStyle w:val="VerbatimChar"/>
        </w:rPr>
        <w:t>## PhantomJS not found. You can install it with webshot::install_phantomjs(). If it is installed, please make sure the phantomjs executable can be found via the PATH variable.</w:t>
      </w:r>
    </w:p>
    <w:p>
      <w:pPr>
        <w:pStyle w:val="Compact"/>
        <w:rPr/>
      </w:pPr>
      <w:r>
        <w:rPr/>
        <w:t>Figure 1: Taxon accumulation curve as shown in the first tab of ranacapa.</w:t>
      </w:r>
    </w:p>
    <w:p>
      <w:pPr>
        <w:pStyle w:val="Heading4"/>
        <w:rPr/>
      </w:pPr>
      <w:bookmarkStart w:id="17" w:name="figure-2"/>
      <w:bookmarkEnd w:id="17"/>
      <w:r>
        <w:rPr/>
        <w:t>Figure 2</w:t>
      </w:r>
    </w:p>
    <w:p>
      <w:pPr>
        <w:pStyle w:val="Compact"/>
        <w:rPr/>
      </w:pPr>
      <w:r>
        <w:rPr/>
        <w:t xml:space="preserve">Figure 2: Taxonomy heatmap as shown in the </w:t>
      </w:r>
      <w:r>
        <w:rPr>
          <w:rStyle w:val="VerbatimChar"/>
        </w:rPr>
        <w:t>ranacapa</w:t>
      </w:r>
      <w:r>
        <w:rPr/>
        <w:t xml:space="preserve"> Shiny app. Taxonomy is shown at the Order level in this figure; in the app, users can choose the taxonomic level to show in the heatmap. Users can also filter select or deselect individual taxa to be shown in the heatmap.</w:t>
      </w:r>
    </w:p>
    <w:p>
      <w:pPr>
        <w:pStyle w:val="Heading4"/>
        <w:rPr/>
      </w:pPr>
      <w:bookmarkStart w:id="18" w:name="figure-3"/>
      <w:bookmarkEnd w:id="18"/>
      <w:r>
        <w:rPr/>
        <w:t>Figure 3</w:t>
      </w:r>
    </w:p>
    <w:p>
      <w:pPr>
        <w:pStyle w:val="Compact"/>
        <w:rPr/>
      </w:pPr>
      <w:r>
        <w:rPr/>
        <w:t xml:space="preserve">Figure 3: 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9" w:name="figure-4"/>
      <w:bookmarkEnd w:id="19"/>
      <w:r>
        <w:rPr/>
        <w:t>Figure 4</w:t>
      </w:r>
    </w:p>
    <w:p>
      <w:pPr>
        <w:pStyle w:val="Compact"/>
        <w:rPr/>
      </w:pPr>
      <w:r>
        <w:rPr/>
        <w:t xml:space="preserve">Figure 4: Alpha diversity boxplots as shown in the </w:t>
      </w:r>
      <w:r>
        <w:rPr>
          <w:rStyle w:val="VerbatimChar"/>
        </w:rPr>
        <w:t>ranacapa</w:t>
      </w:r>
      <w:r>
        <w:rPr/>
        <w:t xml:space="preserve"> Shiny app. Users can select the X-axis variable using a dropdown menu in the app.</w:t>
      </w:r>
    </w:p>
    <w:p>
      <w:pPr>
        <w:pStyle w:val="Heading4"/>
        <w:rPr/>
      </w:pPr>
      <w:bookmarkStart w:id="20" w:name="figure-5"/>
      <w:bookmarkEnd w:id="20"/>
      <w:r>
        <w:rPr/>
        <w:t>Figure 5</w:t>
      </w:r>
    </w:p>
    <w:p>
      <w:pPr>
        <w:pStyle w:val="Compact"/>
        <w:rPr/>
      </w:pPr>
      <w:r>
        <w:rPr/>
        <w:t xml:space="preserve">Figure 5: PCoA ordination of the samples as shown in the </w:t>
      </w:r>
      <w:r>
        <w:rPr>
          <w:rStyle w:val="VerbatimChar"/>
        </w:rPr>
        <w:t>ranacapa</w:t>
      </w:r>
      <w:r>
        <w:rPr/>
        <w:t xml:space="preserve"> Shiny app. Users can select the grouping variable with a dropdown menu in the app.</w:t>
      </w:r>
    </w:p>
    <w:p>
      <w:pPr>
        <w:pStyle w:val="Heading2"/>
        <w:rPr/>
      </w:pPr>
      <w:bookmarkStart w:id="21" w:name="references"/>
      <w:bookmarkEnd w:id="21"/>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2">
        <w:r>
          <w:rPr>
            <w:rStyle w:val="InternetLink"/>
            <w:i/>
          </w:rPr>
          <w:t>https://ecsa.citizen-science.net/sites/default/files/ecsa_ten_principles_of_citizen_science.pdf</w:t>
        </w:r>
      </w:hyperlink>
      <w:r>
        <w:rPr/>
        <w:t>.</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03T17:40:0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This will look better in HTML…..</w:t>
      </w:r>
    </w:p>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s://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github.com/mahendra-mariadassou/phyloseq-extended" TargetMode="External"/><Relationship Id="rId11" Type="http://schemas.openxmlformats.org/officeDocument/2006/relationships/hyperlink" Target="https://github.com/pmartinezarbizu/pairwiseAdonis" TargetMode="External"/><Relationship Id="rId12" Type="http://schemas.openxmlformats.org/officeDocument/2006/relationships/hyperlink" Target="https://ecsa.citizen-science.net/sites/default/files/ecsa_ten_principles_of_citizen_science.pdf" TargetMode="Externa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19</Pages>
  <Words>3550</Words>
  <Characters>21142</Characters>
  <CharactersWithSpaces>25672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2018-10-04T00:38:58Z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2018-10-03T17:40:27Z</dcterms:modified>
  <cp:revision>1</cp:revision>
  <dc:subject/>
  <dc:title>ranacapa: An R package to explore environmental DNA data with exploratory statistics and interactive visualizations</dc:title>
</cp:coreProperties>
</file>