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F4161" w:rsidRDefault="00BF4161">
      <w:pPr>
        <w:pStyle w:val="Heading1"/>
        <w:rPr>
          <w:rFonts w:ascii="Arial" w:hAnsi="Arial"/>
          <w:sz w:val="48"/>
        </w:rPr>
      </w:pPr>
      <w:bookmarkStart w:id="0" w:name="customer-segmentation-with-clustering"/>
      <w:r>
        <w:rPr>
          <w:rFonts w:ascii="Arial" w:hAnsi="Arial"/>
          <w:sz w:val="48"/>
        </w:rPr>
        <w:t>Task 3</w:t>
      </w:r>
    </w:p>
    <w:p w:rsidR="00C85EB3" w:rsidRDefault="00000000">
      <w:pPr>
        <w:pStyle w:val="Heading1"/>
      </w:pPr>
      <w:r>
        <w:rPr>
          <w:rFonts w:ascii="Arial" w:hAnsi="Arial"/>
          <w:sz w:val="48"/>
        </w:rPr>
        <w:t>Customer Segmentation with Clustering</w:t>
      </w:r>
    </w:p>
    <w:p w:rsidR="00C85EB3" w:rsidRDefault="00000000">
      <w:pPr>
        <w:pStyle w:val="Heading2"/>
      </w:pPr>
      <w:bookmarkStart w:id="1" w:name="introduction"/>
      <w:r>
        <w:rPr>
          <w:rFonts w:ascii="Arial" w:hAnsi="Arial"/>
          <w:sz w:val="40"/>
        </w:rPr>
        <w:t>Introduction</w:t>
      </w:r>
    </w:p>
    <w:p w:rsidR="00C85EB3" w:rsidRDefault="00000000" w:rsidP="00325C26">
      <w:pPr>
        <w:pStyle w:val="FirstParagraph"/>
      </w:pPr>
      <w:r>
        <w:rPr>
          <w:rFonts w:ascii="Arial" w:hAnsi="Arial"/>
        </w:rPr>
        <w:t>Customer segmentation is a pivotal strategy for eCommerce businesses aiming to enhance their understanding of customer behavior and refine their marketing efforts.</w:t>
      </w:r>
    </w:p>
    <w:p w:rsidR="00C85EB3" w:rsidRDefault="00000000">
      <w:pPr>
        <w:pStyle w:val="BodyText"/>
      </w:pPr>
      <w:r>
        <w:rPr>
          <w:rFonts w:ascii="Arial" w:hAnsi="Arial"/>
        </w:rPr>
        <w:t>In summary, the use of clustering for customer segmentation is an essential practice for eCommerce businesses. It not only deepens the understanding of customer behavior but also empowers companies to optimize their marketing strategies, leading to increased engagement, sales, and customer loyalty.</w:t>
      </w:r>
    </w:p>
    <w:p w:rsidR="00C85EB3" w:rsidRDefault="00000000">
      <w:pPr>
        <w:pStyle w:val="Heading2"/>
      </w:pPr>
      <w:bookmarkStart w:id="2" w:name="data-loading-and-preparation"/>
      <w:bookmarkEnd w:id="1"/>
      <w:r>
        <w:rPr>
          <w:rFonts w:ascii="Arial" w:hAnsi="Arial"/>
          <w:sz w:val="40"/>
        </w:rPr>
        <w:t>Data Loading and Preparation</w:t>
      </w:r>
    </w:p>
    <w:p w:rsidR="00C85EB3" w:rsidRDefault="00000000">
      <w:pPr>
        <w:pStyle w:val="FirstParagraph"/>
      </w:pPr>
      <w:r>
        <w:rPr>
          <w:rFonts w:ascii="Arial" w:hAnsi="Arial"/>
        </w:rPr>
        <w:t xml:space="preserve">The first step in analyzing customer segmentation through clustering involves loading and preparing the datasets that will be used for the analysis. For this project, we will utilize three primary CSV files: </w:t>
      </w:r>
      <w:r>
        <w:rPr>
          <w:rStyle w:val="VerbatimChar"/>
          <w:rFonts w:ascii="Arial" w:hAnsi="Arial"/>
          <w:sz w:val="24"/>
        </w:rPr>
        <w:t>Customers.csv</w:t>
      </w:r>
      <w:r>
        <w:rPr>
          <w:rFonts w:ascii="Arial" w:hAnsi="Arial"/>
        </w:rPr>
        <w:t xml:space="preserve">, </w:t>
      </w:r>
      <w:r>
        <w:rPr>
          <w:rStyle w:val="VerbatimChar"/>
          <w:rFonts w:ascii="Arial" w:hAnsi="Arial"/>
          <w:sz w:val="24"/>
        </w:rPr>
        <w:t>Transactions.csv</w:t>
      </w:r>
      <w:r>
        <w:rPr>
          <w:rFonts w:ascii="Arial" w:hAnsi="Arial"/>
        </w:rPr>
        <w:t xml:space="preserve">, and </w:t>
      </w:r>
      <w:r>
        <w:rPr>
          <w:rStyle w:val="VerbatimChar"/>
          <w:rFonts w:ascii="Arial" w:hAnsi="Arial"/>
          <w:sz w:val="24"/>
        </w:rPr>
        <w:t>Products.csv</w:t>
      </w:r>
      <w:r>
        <w:rPr>
          <w:rFonts w:ascii="Arial" w:hAnsi="Arial"/>
        </w:rPr>
        <w:t>. Each dataset contains critical information that will contribute to understanding customer behavior and preferences.</w:t>
      </w:r>
    </w:p>
    <w:p w:rsidR="00C85EB3" w:rsidRDefault="00000000">
      <w:pPr>
        <w:pStyle w:val="Heading3"/>
      </w:pPr>
      <w:bookmarkStart w:id="3" w:name="customers.csv"/>
      <w:r>
        <w:rPr>
          <w:rFonts w:ascii="Arial" w:hAnsi="Arial"/>
          <w:sz w:val="36"/>
        </w:rPr>
        <w:t>1. Customers.csv</w:t>
      </w:r>
    </w:p>
    <w:p w:rsidR="00C85EB3" w:rsidRDefault="00000000">
      <w:pPr>
        <w:pStyle w:val="FirstParagraph"/>
      </w:pPr>
      <w:r>
        <w:rPr>
          <w:rFonts w:ascii="Arial" w:hAnsi="Arial"/>
        </w:rPr>
        <w:t>This dataset contains information about the customers, including their unique identifiers, demographics, and contact information. A sample of the data along with its data types is shown below:</w:t>
      </w:r>
    </w:p>
    <w:tbl>
      <w:tblPr>
        <w:tblStyle w:val="Table"/>
        <w:tblW w:w="0" w:type="auto"/>
        <w:tblLook w:val="0020" w:firstRow="1" w:lastRow="0" w:firstColumn="0" w:lastColumn="0" w:noHBand="0" w:noVBand="0"/>
      </w:tblPr>
      <w:tblGrid>
        <w:gridCol w:w="1497"/>
        <w:gridCol w:w="1711"/>
        <w:gridCol w:w="644"/>
        <w:gridCol w:w="1017"/>
        <w:gridCol w:w="2915"/>
      </w:tblGrid>
      <w:tr w:rsidR="00C85EB3" w:rsidTr="00C85EB3">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CustomerID</w:t>
            </w:r>
          </w:p>
        </w:tc>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Name</w:t>
            </w:r>
          </w:p>
        </w:tc>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Age</w:t>
            </w:r>
          </w:p>
        </w:tc>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Gender</w:t>
            </w:r>
          </w:p>
        </w:tc>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Email</w:t>
            </w:r>
          </w:p>
        </w:tc>
      </w:tr>
      <w:tr w:rsidR="00C85EB3" w:rsidTr="00C85EB3">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C001</w:t>
            </w:r>
          </w:p>
        </w:tc>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John Doe</w:t>
            </w:r>
          </w:p>
        </w:tc>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28</w:t>
            </w:r>
          </w:p>
        </w:tc>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Male</w:t>
            </w:r>
          </w:p>
        </w:tc>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johndoe@example.com</w:t>
            </w:r>
          </w:p>
        </w:tc>
      </w:tr>
      <w:tr w:rsidR="00C85EB3" w:rsidTr="00C85EB3">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C002</w:t>
            </w:r>
          </w:p>
        </w:tc>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Jane Smith</w:t>
            </w:r>
          </w:p>
        </w:tc>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34</w:t>
            </w:r>
          </w:p>
        </w:tc>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Female</w:t>
            </w:r>
          </w:p>
        </w:tc>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janesmith@example.com</w:t>
            </w:r>
          </w:p>
        </w:tc>
      </w:tr>
      <w:tr w:rsidR="00C85EB3" w:rsidTr="00C85EB3">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C003</w:t>
            </w:r>
          </w:p>
        </w:tc>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Alice Johnson</w:t>
            </w:r>
          </w:p>
        </w:tc>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45</w:t>
            </w:r>
          </w:p>
        </w:tc>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Female</w:t>
            </w:r>
          </w:p>
        </w:tc>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alicej@example.com</w:t>
            </w:r>
          </w:p>
        </w:tc>
      </w:tr>
    </w:tbl>
    <w:p w:rsidR="00C85EB3" w:rsidRDefault="00000000">
      <w:pPr>
        <w:pStyle w:val="Compact"/>
        <w:numPr>
          <w:ilvl w:val="0"/>
          <w:numId w:val="2"/>
        </w:numPr>
      </w:pPr>
      <w:r>
        <w:rPr>
          <w:rFonts w:ascii="Arial" w:hAnsi="Arial"/>
          <w:b/>
          <w:bCs/>
        </w:rPr>
        <w:t>CustomerID</w:t>
      </w:r>
      <w:r>
        <w:rPr>
          <w:rFonts w:ascii="Arial" w:hAnsi="Arial"/>
        </w:rPr>
        <w:t>: String</w:t>
      </w:r>
    </w:p>
    <w:p w:rsidR="00C85EB3" w:rsidRDefault="00000000">
      <w:pPr>
        <w:pStyle w:val="Compact"/>
        <w:numPr>
          <w:ilvl w:val="0"/>
          <w:numId w:val="2"/>
        </w:numPr>
      </w:pPr>
      <w:r>
        <w:rPr>
          <w:rFonts w:ascii="Arial" w:hAnsi="Arial"/>
          <w:b/>
          <w:bCs/>
        </w:rPr>
        <w:t>Name</w:t>
      </w:r>
      <w:r>
        <w:rPr>
          <w:rFonts w:ascii="Arial" w:hAnsi="Arial"/>
        </w:rPr>
        <w:t>: String</w:t>
      </w:r>
    </w:p>
    <w:p w:rsidR="00C85EB3" w:rsidRDefault="00000000">
      <w:pPr>
        <w:pStyle w:val="Compact"/>
        <w:numPr>
          <w:ilvl w:val="0"/>
          <w:numId w:val="2"/>
        </w:numPr>
      </w:pPr>
      <w:r>
        <w:rPr>
          <w:rFonts w:ascii="Arial" w:hAnsi="Arial"/>
          <w:b/>
          <w:bCs/>
        </w:rPr>
        <w:t>Age</w:t>
      </w:r>
      <w:r>
        <w:rPr>
          <w:rFonts w:ascii="Arial" w:hAnsi="Arial"/>
        </w:rPr>
        <w:t>: Integer</w:t>
      </w:r>
    </w:p>
    <w:p w:rsidR="00C85EB3" w:rsidRDefault="00000000">
      <w:pPr>
        <w:pStyle w:val="Compact"/>
        <w:numPr>
          <w:ilvl w:val="0"/>
          <w:numId w:val="2"/>
        </w:numPr>
      </w:pPr>
      <w:r>
        <w:rPr>
          <w:rFonts w:ascii="Arial" w:hAnsi="Arial"/>
          <w:b/>
          <w:bCs/>
        </w:rPr>
        <w:t>Gender</w:t>
      </w:r>
      <w:r>
        <w:rPr>
          <w:rFonts w:ascii="Arial" w:hAnsi="Arial"/>
        </w:rPr>
        <w:t>: String</w:t>
      </w:r>
    </w:p>
    <w:p w:rsidR="00C85EB3" w:rsidRDefault="00000000">
      <w:pPr>
        <w:pStyle w:val="Compact"/>
        <w:numPr>
          <w:ilvl w:val="0"/>
          <w:numId w:val="2"/>
        </w:numPr>
      </w:pPr>
      <w:r>
        <w:rPr>
          <w:rFonts w:ascii="Arial" w:hAnsi="Arial"/>
          <w:b/>
          <w:bCs/>
        </w:rPr>
        <w:t>Email</w:t>
      </w:r>
      <w:r>
        <w:rPr>
          <w:rFonts w:ascii="Arial" w:hAnsi="Arial"/>
        </w:rPr>
        <w:t>: String</w:t>
      </w:r>
    </w:p>
    <w:p w:rsidR="00C85EB3" w:rsidRDefault="00000000">
      <w:pPr>
        <w:pStyle w:val="Heading3"/>
      </w:pPr>
      <w:bookmarkStart w:id="4" w:name="transactions.csv"/>
      <w:bookmarkEnd w:id="3"/>
      <w:r>
        <w:rPr>
          <w:rFonts w:ascii="Arial" w:hAnsi="Arial"/>
          <w:sz w:val="36"/>
        </w:rPr>
        <w:lastRenderedPageBreak/>
        <w:t>2. Transactions.csv</w:t>
      </w:r>
    </w:p>
    <w:p w:rsidR="00C85EB3" w:rsidRDefault="00000000">
      <w:pPr>
        <w:pStyle w:val="FirstParagraph"/>
      </w:pPr>
      <w:r>
        <w:rPr>
          <w:rFonts w:ascii="Arial" w:hAnsi="Arial"/>
        </w:rPr>
        <w:t>This dataset records each transaction made by the customers, detailing the products purchased, transaction dates, and amounts spent. A sample of the data is provided below:</w:t>
      </w:r>
    </w:p>
    <w:tbl>
      <w:tblPr>
        <w:tblStyle w:val="Table"/>
        <w:tblW w:w="0" w:type="auto"/>
        <w:tblLook w:val="0020" w:firstRow="1" w:lastRow="0" w:firstColumn="0" w:lastColumn="0" w:noHBand="0" w:noVBand="0"/>
      </w:tblPr>
      <w:tblGrid>
        <w:gridCol w:w="1710"/>
        <w:gridCol w:w="1497"/>
        <w:gridCol w:w="1284"/>
        <w:gridCol w:w="1444"/>
        <w:gridCol w:w="1044"/>
      </w:tblGrid>
      <w:tr w:rsidR="00C85EB3" w:rsidTr="00C85EB3">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TransactionID</w:t>
            </w:r>
          </w:p>
        </w:tc>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CustomerID</w:t>
            </w:r>
          </w:p>
        </w:tc>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ProductID</w:t>
            </w:r>
          </w:p>
        </w:tc>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Date</w:t>
            </w:r>
          </w:p>
        </w:tc>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Amount</w:t>
            </w:r>
          </w:p>
        </w:tc>
      </w:tr>
      <w:tr w:rsidR="00C85EB3" w:rsidTr="00C85EB3">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T001</w:t>
            </w:r>
          </w:p>
        </w:tc>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C001</w:t>
            </w:r>
          </w:p>
        </w:tc>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P001</w:t>
            </w:r>
          </w:p>
        </w:tc>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2023-01-15</w:t>
            </w:r>
          </w:p>
        </w:tc>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150.00</w:t>
            </w:r>
          </w:p>
        </w:tc>
      </w:tr>
      <w:tr w:rsidR="00C85EB3" w:rsidTr="00C85EB3">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T002</w:t>
            </w:r>
          </w:p>
        </w:tc>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C002</w:t>
            </w:r>
          </w:p>
        </w:tc>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P002</w:t>
            </w:r>
          </w:p>
        </w:tc>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2023-02-20</w:t>
            </w:r>
          </w:p>
        </w:tc>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200.00</w:t>
            </w:r>
          </w:p>
        </w:tc>
      </w:tr>
      <w:tr w:rsidR="00C85EB3" w:rsidTr="00C85EB3">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T003</w:t>
            </w:r>
          </w:p>
        </w:tc>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C001</w:t>
            </w:r>
          </w:p>
        </w:tc>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P003</w:t>
            </w:r>
          </w:p>
        </w:tc>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2023-03-05</w:t>
            </w:r>
          </w:p>
        </w:tc>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99.99</w:t>
            </w:r>
          </w:p>
        </w:tc>
      </w:tr>
    </w:tbl>
    <w:p w:rsidR="00C85EB3" w:rsidRDefault="00000000">
      <w:pPr>
        <w:pStyle w:val="Compact"/>
        <w:numPr>
          <w:ilvl w:val="0"/>
          <w:numId w:val="3"/>
        </w:numPr>
      </w:pPr>
      <w:r>
        <w:rPr>
          <w:rFonts w:ascii="Arial" w:hAnsi="Arial"/>
          <w:b/>
          <w:bCs/>
        </w:rPr>
        <w:t>TransactionID</w:t>
      </w:r>
      <w:r>
        <w:rPr>
          <w:rFonts w:ascii="Arial" w:hAnsi="Arial"/>
        </w:rPr>
        <w:t>: String</w:t>
      </w:r>
    </w:p>
    <w:p w:rsidR="00C85EB3" w:rsidRDefault="00000000">
      <w:pPr>
        <w:pStyle w:val="Compact"/>
        <w:numPr>
          <w:ilvl w:val="0"/>
          <w:numId w:val="3"/>
        </w:numPr>
      </w:pPr>
      <w:r>
        <w:rPr>
          <w:rFonts w:ascii="Arial" w:hAnsi="Arial"/>
          <w:b/>
          <w:bCs/>
        </w:rPr>
        <w:t>CustomerID</w:t>
      </w:r>
      <w:r>
        <w:rPr>
          <w:rFonts w:ascii="Arial" w:hAnsi="Arial"/>
        </w:rPr>
        <w:t>: String</w:t>
      </w:r>
    </w:p>
    <w:p w:rsidR="00C85EB3" w:rsidRDefault="00000000">
      <w:pPr>
        <w:pStyle w:val="Compact"/>
        <w:numPr>
          <w:ilvl w:val="0"/>
          <w:numId w:val="3"/>
        </w:numPr>
      </w:pPr>
      <w:r>
        <w:rPr>
          <w:rFonts w:ascii="Arial" w:hAnsi="Arial"/>
          <w:b/>
          <w:bCs/>
        </w:rPr>
        <w:t>ProductID</w:t>
      </w:r>
      <w:r>
        <w:rPr>
          <w:rFonts w:ascii="Arial" w:hAnsi="Arial"/>
        </w:rPr>
        <w:t>: String</w:t>
      </w:r>
    </w:p>
    <w:p w:rsidR="00C85EB3" w:rsidRDefault="00000000">
      <w:pPr>
        <w:pStyle w:val="Compact"/>
        <w:numPr>
          <w:ilvl w:val="0"/>
          <w:numId w:val="3"/>
        </w:numPr>
      </w:pPr>
      <w:r>
        <w:rPr>
          <w:rFonts w:ascii="Arial" w:hAnsi="Arial"/>
          <w:b/>
          <w:bCs/>
        </w:rPr>
        <w:t>Date</w:t>
      </w:r>
      <w:r>
        <w:rPr>
          <w:rFonts w:ascii="Arial" w:hAnsi="Arial"/>
        </w:rPr>
        <w:t>: DateTime</w:t>
      </w:r>
    </w:p>
    <w:p w:rsidR="00C85EB3" w:rsidRDefault="00000000">
      <w:pPr>
        <w:pStyle w:val="Compact"/>
        <w:numPr>
          <w:ilvl w:val="0"/>
          <w:numId w:val="3"/>
        </w:numPr>
      </w:pPr>
      <w:r>
        <w:rPr>
          <w:rFonts w:ascii="Arial" w:hAnsi="Arial"/>
          <w:b/>
          <w:bCs/>
        </w:rPr>
        <w:t>Amount</w:t>
      </w:r>
      <w:r>
        <w:rPr>
          <w:rFonts w:ascii="Arial" w:hAnsi="Arial"/>
        </w:rPr>
        <w:t>: Float</w:t>
      </w:r>
    </w:p>
    <w:p w:rsidR="00C85EB3" w:rsidRDefault="00000000">
      <w:pPr>
        <w:pStyle w:val="Heading3"/>
      </w:pPr>
      <w:bookmarkStart w:id="5" w:name="products.csv"/>
      <w:bookmarkEnd w:id="4"/>
      <w:r>
        <w:rPr>
          <w:rFonts w:ascii="Arial" w:hAnsi="Arial"/>
          <w:sz w:val="36"/>
        </w:rPr>
        <w:t>3. Products.csv</w:t>
      </w:r>
    </w:p>
    <w:p w:rsidR="00C85EB3" w:rsidRDefault="00000000">
      <w:pPr>
        <w:pStyle w:val="FirstParagraph"/>
      </w:pPr>
      <w:r>
        <w:rPr>
          <w:rFonts w:ascii="Arial" w:hAnsi="Arial"/>
        </w:rPr>
        <w:t>This dataset contains details about the products available for purchase, including their IDs, names, categories, and prices. The sample data is as follows:</w:t>
      </w:r>
    </w:p>
    <w:tbl>
      <w:tblPr>
        <w:tblStyle w:val="Table"/>
        <w:tblW w:w="0" w:type="auto"/>
        <w:tblLook w:val="0020" w:firstRow="1" w:lastRow="0" w:firstColumn="0" w:lastColumn="0" w:noHBand="0" w:noVBand="0"/>
      </w:tblPr>
      <w:tblGrid>
        <w:gridCol w:w="1284"/>
        <w:gridCol w:w="1684"/>
        <w:gridCol w:w="1510"/>
        <w:gridCol w:w="951"/>
      </w:tblGrid>
      <w:tr w:rsidR="00C85EB3" w:rsidTr="00C85EB3">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ProductID</w:t>
            </w:r>
          </w:p>
        </w:tc>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ProductName</w:t>
            </w:r>
          </w:p>
        </w:tc>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Category</w:t>
            </w:r>
          </w:p>
        </w:tc>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Price</w:t>
            </w:r>
          </w:p>
        </w:tc>
      </w:tr>
      <w:tr w:rsidR="00C85EB3" w:rsidTr="00C85EB3">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P001</w:t>
            </w:r>
          </w:p>
        </w:tc>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Widget A</w:t>
            </w:r>
          </w:p>
        </w:tc>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Gadgets</w:t>
            </w:r>
          </w:p>
        </w:tc>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150.00</w:t>
            </w:r>
          </w:p>
        </w:tc>
      </w:tr>
      <w:tr w:rsidR="00C85EB3" w:rsidTr="00C85EB3">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P002</w:t>
            </w:r>
          </w:p>
        </w:tc>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Widget B</w:t>
            </w:r>
          </w:p>
        </w:tc>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Accessories</w:t>
            </w:r>
          </w:p>
        </w:tc>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200.00</w:t>
            </w:r>
          </w:p>
        </w:tc>
      </w:tr>
      <w:tr w:rsidR="00C85EB3" w:rsidTr="00C85EB3">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P003</w:t>
            </w:r>
          </w:p>
        </w:tc>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Widget C</w:t>
            </w:r>
          </w:p>
        </w:tc>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Gadgets</w:t>
            </w:r>
          </w:p>
        </w:tc>
        <w:tc>
          <w:tcPr>
            <w:tcW w:w="0" w:type="auto"/>
            <w:tcBorders>
              <w:top w:val="single" w:sz="8" w:space="0" w:color="auto"/>
              <w:left w:val="single" w:sz="8" w:space="0" w:color="auto"/>
              <w:bottom w:val="single" w:sz="8" w:space="0" w:color="auto"/>
              <w:right w:val="single" w:sz="8" w:space="0" w:color="auto"/>
            </w:tcBorders>
          </w:tcPr>
          <w:p w:rsidR="00C85EB3" w:rsidRDefault="00000000">
            <w:pPr>
              <w:pStyle w:val="Compact"/>
            </w:pPr>
            <w:r>
              <w:rPr>
                <w:rFonts w:ascii="Arial" w:hAnsi="Arial"/>
              </w:rPr>
              <w:t>99.99</w:t>
            </w:r>
          </w:p>
        </w:tc>
      </w:tr>
    </w:tbl>
    <w:p w:rsidR="00C85EB3" w:rsidRDefault="00000000">
      <w:pPr>
        <w:pStyle w:val="Compact"/>
        <w:numPr>
          <w:ilvl w:val="0"/>
          <w:numId w:val="4"/>
        </w:numPr>
      </w:pPr>
      <w:r>
        <w:rPr>
          <w:rFonts w:ascii="Arial" w:hAnsi="Arial"/>
          <w:b/>
          <w:bCs/>
        </w:rPr>
        <w:t>ProductID</w:t>
      </w:r>
      <w:r>
        <w:rPr>
          <w:rFonts w:ascii="Arial" w:hAnsi="Arial"/>
        </w:rPr>
        <w:t>: String</w:t>
      </w:r>
    </w:p>
    <w:p w:rsidR="00C85EB3" w:rsidRDefault="00000000">
      <w:pPr>
        <w:pStyle w:val="Compact"/>
        <w:numPr>
          <w:ilvl w:val="0"/>
          <w:numId w:val="4"/>
        </w:numPr>
      </w:pPr>
      <w:r>
        <w:rPr>
          <w:rFonts w:ascii="Arial" w:hAnsi="Arial"/>
          <w:b/>
          <w:bCs/>
        </w:rPr>
        <w:t>ProductName</w:t>
      </w:r>
      <w:r>
        <w:rPr>
          <w:rFonts w:ascii="Arial" w:hAnsi="Arial"/>
        </w:rPr>
        <w:t>: String</w:t>
      </w:r>
    </w:p>
    <w:p w:rsidR="00C85EB3" w:rsidRDefault="00000000">
      <w:pPr>
        <w:pStyle w:val="Compact"/>
        <w:numPr>
          <w:ilvl w:val="0"/>
          <w:numId w:val="4"/>
        </w:numPr>
      </w:pPr>
      <w:r>
        <w:rPr>
          <w:rFonts w:ascii="Arial" w:hAnsi="Arial"/>
          <w:b/>
          <w:bCs/>
        </w:rPr>
        <w:t>Category</w:t>
      </w:r>
      <w:r>
        <w:rPr>
          <w:rFonts w:ascii="Arial" w:hAnsi="Arial"/>
        </w:rPr>
        <w:t>: String</w:t>
      </w:r>
    </w:p>
    <w:p w:rsidR="00C85EB3" w:rsidRDefault="00000000">
      <w:pPr>
        <w:pStyle w:val="Compact"/>
        <w:numPr>
          <w:ilvl w:val="0"/>
          <w:numId w:val="4"/>
        </w:numPr>
      </w:pPr>
      <w:r>
        <w:rPr>
          <w:rFonts w:ascii="Arial" w:hAnsi="Arial"/>
          <w:b/>
          <w:bCs/>
        </w:rPr>
        <w:t>Price</w:t>
      </w:r>
      <w:r>
        <w:rPr>
          <w:rFonts w:ascii="Arial" w:hAnsi="Arial"/>
        </w:rPr>
        <w:t>: Float</w:t>
      </w:r>
    </w:p>
    <w:p w:rsidR="00C85EB3" w:rsidRDefault="00000000">
      <w:pPr>
        <w:pStyle w:val="Heading3"/>
      </w:pPr>
      <w:bookmarkStart w:id="6" w:name="data-loading-process"/>
      <w:bookmarkEnd w:id="5"/>
      <w:r>
        <w:rPr>
          <w:rFonts w:ascii="Arial" w:hAnsi="Arial"/>
          <w:sz w:val="36"/>
        </w:rPr>
        <w:t>Data Loading Process</w:t>
      </w:r>
    </w:p>
    <w:p w:rsidR="00C85EB3" w:rsidRDefault="00000000">
      <w:pPr>
        <w:pStyle w:val="FirstParagraph"/>
      </w:pPr>
      <w:r>
        <w:rPr>
          <w:rFonts w:ascii="Arial" w:hAnsi="Arial"/>
        </w:rPr>
        <w:t>To load these datasets, we utilize the pandas library in Python, which provides an efficient way to read CSV files into DataFrame structures. The data is then checked for consistency and cleaned as necessary, ensuring that any missing or erroneous values are handled appropriately before proceeding with the analysis.</w:t>
      </w:r>
    </w:p>
    <w:p w:rsidR="00C85EB3" w:rsidRDefault="00000000">
      <w:pPr>
        <w:pStyle w:val="Heading2"/>
      </w:pPr>
      <w:bookmarkStart w:id="7" w:name="data-merging"/>
      <w:bookmarkEnd w:id="2"/>
      <w:bookmarkEnd w:id="6"/>
      <w:r>
        <w:rPr>
          <w:rFonts w:ascii="Arial" w:hAnsi="Arial"/>
          <w:sz w:val="40"/>
        </w:rPr>
        <w:t>Data Merging</w:t>
      </w:r>
    </w:p>
    <w:p w:rsidR="00C85EB3" w:rsidRDefault="00000000">
      <w:pPr>
        <w:pStyle w:val="FirstParagraph"/>
      </w:pPr>
      <w:r>
        <w:rPr>
          <w:rFonts w:ascii="Arial" w:hAnsi="Arial"/>
        </w:rPr>
        <w:t xml:space="preserve">Once the datasets are loaded and prepared, the next crucial step in the analysis process is data merging. Merging these datasets allows us to create a comprehensive view of customer interactions across various dimensions, including demographics, </w:t>
      </w:r>
      <w:r>
        <w:rPr>
          <w:rFonts w:ascii="Arial" w:hAnsi="Arial"/>
        </w:rPr>
        <w:lastRenderedPageBreak/>
        <w:t>transaction history, and product details. This enriched dataset is instrumental in facilitating more robust feature engineering, which is pivotal for effective clustering.</w:t>
      </w:r>
    </w:p>
    <w:p w:rsidR="00C85EB3" w:rsidRDefault="00000000">
      <w:pPr>
        <w:pStyle w:val="Heading3"/>
      </w:pPr>
      <w:bookmarkStart w:id="8" w:name="merging-datasets"/>
      <w:r>
        <w:rPr>
          <w:rFonts w:ascii="Arial" w:hAnsi="Arial"/>
          <w:sz w:val="36"/>
        </w:rPr>
        <w:t>Merging Datasets</w:t>
      </w:r>
    </w:p>
    <w:p w:rsidR="00C85EB3" w:rsidRDefault="00000000">
      <w:pPr>
        <w:pStyle w:val="FirstParagraph"/>
      </w:pPr>
      <w:r>
        <w:rPr>
          <w:rFonts w:ascii="Arial" w:hAnsi="Arial"/>
        </w:rPr>
        <w:t xml:space="preserve">The merging process involves combining the </w:t>
      </w:r>
      <w:r>
        <w:rPr>
          <w:rStyle w:val="VerbatimChar"/>
          <w:rFonts w:ascii="Arial" w:hAnsi="Arial"/>
          <w:sz w:val="24"/>
        </w:rPr>
        <w:t>Customers.csv</w:t>
      </w:r>
      <w:r>
        <w:rPr>
          <w:rFonts w:ascii="Arial" w:hAnsi="Arial"/>
        </w:rPr>
        <w:t xml:space="preserve">, </w:t>
      </w:r>
      <w:r>
        <w:rPr>
          <w:rStyle w:val="VerbatimChar"/>
          <w:rFonts w:ascii="Arial" w:hAnsi="Arial"/>
          <w:sz w:val="24"/>
        </w:rPr>
        <w:t>Transactions.csv</w:t>
      </w:r>
      <w:r>
        <w:rPr>
          <w:rFonts w:ascii="Arial" w:hAnsi="Arial"/>
        </w:rPr>
        <w:t xml:space="preserve">, and </w:t>
      </w:r>
      <w:r>
        <w:rPr>
          <w:rStyle w:val="VerbatimChar"/>
          <w:rFonts w:ascii="Arial" w:hAnsi="Arial"/>
          <w:sz w:val="24"/>
        </w:rPr>
        <w:t>Products.csv</w:t>
      </w:r>
      <w:r>
        <w:rPr>
          <w:rFonts w:ascii="Arial" w:hAnsi="Arial"/>
        </w:rPr>
        <w:t xml:space="preserve"> datasets into a single cohesive dataset. This can be accomplished using the </w:t>
      </w:r>
      <w:r>
        <w:rPr>
          <w:rStyle w:val="VerbatimChar"/>
          <w:rFonts w:ascii="Arial" w:hAnsi="Arial"/>
          <w:sz w:val="24"/>
        </w:rPr>
        <w:t>merge</w:t>
      </w:r>
      <w:r>
        <w:rPr>
          <w:rFonts w:ascii="Arial" w:hAnsi="Arial"/>
        </w:rPr>
        <w:t xml:space="preserve"> function in pandas, which allows for the integration of multiple DataFrames based on common keys. In this case, the </w:t>
      </w:r>
      <w:r>
        <w:rPr>
          <w:rStyle w:val="VerbatimChar"/>
          <w:rFonts w:ascii="Arial" w:hAnsi="Arial"/>
          <w:sz w:val="24"/>
        </w:rPr>
        <w:t>CustomerID</w:t>
      </w:r>
      <w:r>
        <w:rPr>
          <w:rFonts w:ascii="Arial" w:hAnsi="Arial"/>
        </w:rPr>
        <w:t xml:space="preserve"> from </w:t>
      </w:r>
      <w:r>
        <w:rPr>
          <w:rStyle w:val="VerbatimChar"/>
          <w:rFonts w:ascii="Arial" w:hAnsi="Arial"/>
          <w:sz w:val="24"/>
        </w:rPr>
        <w:t>Customers.csv</w:t>
      </w:r>
      <w:r>
        <w:rPr>
          <w:rFonts w:ascii="Arial" w:hAnsi="Arial"/>
        </w:rPr>
        <w:t xml:space="preserve"> and </w:t>
      </w:r>
      <w:r>
        <w:rPr>
          <w:rStyle w:val="VerbatimChar"/>
          <w:rFonts w:ascii="Arial" w:hAnsi="Arial"/>
          <w:sz w:val="24"/>
        </w:rPr>
        <w:t>Transactions.csv</w:t>
      </w:r>
      <w:r>
        <w:rPr>
          <w:rFonts w:ascii="Arial" w:hAnsi="Arial"/>
        </w:rPr>
        <w:t xml:space="preserve"> serves as a link between customer information and their transaction details. Similarly, </w:t>
      </w:r>
      <w:r>
        <w:rPr>
          <w:rStyle w:val="VerbatimChar"/>
          <w:rFonts w:ascii="Arial" w:hAnsi="Arial"/>
          <w:sz w:val="24"/>
        </w:rPr>
        <w:t>ProductID</w:t>
      </w:r>
      <w:r>
        <w:rPr>
          <w:rFonts w:ascii="Arial" w:hAnsi="Arial"/>
        </w:rPr>
        <w:t xml:space="preserve"> from </w:t>
      </w:r>
      <w:r>
        <w:rPr>
          <w:rStyle w:val="VerbatimChar"/>
          <w:rFonts w:ascii="Arial" w:hAnsi="Arial"/>
          <w:sz w:val="24"/>
        </w:rPr>
        <w:t>Transactions.csv</w:t>
      </w:r>
      <w:r>
        <w:rPr>
          <w:rFonts w:ascii="Arial" w:hAnsi="Arial"/>
        </w:rPr>
        <w:t xml:space="preserve"> and </w:t>
      </w:r>
      <w:r>
        <w:rPr>
          <w:rStyle w:val="VerbatimChar"/>
          <w:rFonts w:ascii="Arial" w:hAnsi="Arial"/>
          <w:sz w:val="24"/>
        </w:rPr>
        <w:t>Products.csv</w:t>
      </w:r>
      <w:r>
        <w:rPr>
          <w:rFonts w:ascii="Arial" w:hAnsi="Arial"/>
        </w:rPr>
        <w:t xml:space="preserve"> connects transaction data with product information.</w:t>
      </w:r>
    </w:p>
    <w:p w:rsidR="00C85EB3" w:rsidRDefault="00000000">
      <w:pPr>
        <w:pStyle w:val="BodyText"/>
      </w:pPr>
      <w:r>
        <w:rPr>
          <w:rFonts w:ascii="Arial" w:hAnsi="Arial"/>
        </w:rPr>
        <w:t>The merging operation can be performed as follows:</w:t>
      </w:r>
    </w:p>
    <w:p w:rsidR="00C85EB3" w:rsidRDefault="00000000">
      <w:pPr>
        <w:pStyle w:val="SourceCode"/>
      </w:pPr>
      <w:r>
        <w:rPr>
          <w:rStyle w:val="CommentTok"/>
          <w:rFonts w:ascii="Courier New" w:hAnsi="Courier New"/>
          <w:sz w:val="20"/>
        </w:rPr>
        <w:t># Merging datasets</w:t>
      </w:r>
      <w:r>
        <w:rPr>
          <w:rFonts w:ascii="Courier New" w:hAnsi="Courier New"/>
          <w:sz w:val="20"/>
        </w:rPr>
        <w:br/>
      </w:r>
      <w:r>
        <w:rPr>
          <w:rStyle w:val="NormalTok"/>
          <w:rFonts w:ascii="Courier New" w:hAnsi="Courier New"/>
          <w:sz w:val="20"/>
        </w:rPr>
        <w:t xml:space="preserve">customer_transactions </w:t>
      </w:r>
      <w:r>
        <w:rPr>
          <w:rStyle w:val="OperatorTok"/>
          <w:rFonts w:ascii="Courier New" w:hAnsi="Courier New"/>
          <w:sz w:val="20"/>
        </w:rPr>
        <w:t>=</w:t>
      </w:r>
      <w:r>
        <w:rPr>
          <w:rStyle w:val="NormalTok"/>
          <w:rFonts w:ascii="Courier New" w:hAnsi="Courier New"/>
          <w:sz w:val="20"/>
        </w:rPr>
        <w:t xml:space="preserve"> pd.merge(Transactions, Customers, on</w:t>
      </w:r>
      <w:r>
        <w:rPr>
          <w:rStyle w:val="OperatorTok"/>
          <w:rFonts w:ascii="Courier New" w:hAnsi="Courier New"/>
          <w:sz w:val="20"/>
        </w:rPr>
        <w:t>=</w:t>
      </w:r>
      <w:r>
        <w:rPr>
          <w:rStyle w:val="StringTok"/>
          <w:rFonts w:ascii="Courier New" w:hAnsi="Courier New"/>
          <w:sz w:val="20"/>
        </w:rPr>
        <w:t>'CustomerID'</w:t>
      </w:r>
      <w:r>
        <w:rPr>
          <w:rStyle w:val="NormalTok"/>
          <w:rFonts w:ascii="Courier New" w:hAnsi="Courier New"/>
          <w:sz w:val="20"/>
        </w:rPr>
        <w:t>, how</w:t>
      </w:r>
      <w:r>
        <w:rPr>
          <w:rStyle w:val="OperatorTok"/>
          <w:rFonts w:ascii="Courier New" w:hAnsi="Courier New"/>
          <w:sz w:val="20"/>
        </w:rPr>
        <w:t>=</w:t>
      </w:r>
      <w:r>
        <w:rPr>
          <w:rStyle w:val="StringTok"/>
          <w:rFonts w:ascii="Courier New" w:hAnsi="Courier New"/>
          <w:sz w:val="20"/>
        </w:rPr>
        <w:t>'inner'</w:t>
      </w:r>
      <w:r>
        <w:rPr>
          <w:rStyle w:val="NormalTok"/>
          <w:rFonts w:ascii="Courier New" w:hAnsi="Courier New"/>
          <w:sz w:val="20"/>
        </w:rPr>
        <w:t>)</w:t>
      </w:r>
      <w:r>
        <w:rPr>
          <w:rFonts w:ascii="Courier New" w:hAnsi="Courier New"/>
          <w:sz w:val="20"/>
        </w:rPr>
        <w:br/>
      </w:r>
      <w:r>
        <w:rPr>
          <w:rStyle w:val="NormalTok"/>
          <w:rFonts w:ascii="Courier New" w:hAnsi="Courier New"/>
          <w:sz w:val="20"/>
        </w:rPr>
        <w:t xml:space="preserve">complete_data </w:t>
      </w:r>
      <w:r>
        <w:rPr>
          <w:rStyle w:val="OperatorTok"/>
          <w:rFonts w:ascii="Courier New" w:hAnsi="Courier New"/>
          <w:sz w:val="20"/>
        </w:rPr>
        <w:t>=</w:t>
      </w:r>
      <w:r>
        <w:rPr>
          <w:rStyle w:val="NormalTok"/>
          <w:rFonts w:ascii="Courier New" w:hAnsi="Courier New"/>
          <w:sz w:val="20"/>
        </w:rPr>
        <w:t xml:space="preserve"> pd.merge(customer_transactions, Products, on</w:t>
      </w:r>
      <w:r>
        <w:rPr>
          <w:rStyle w:val="OperatorTok"/>
          <w:rFonts w:ascii="Courier New" w:hAnsi="Courier New"/>
          <w:sz w:val="20"/>
        </w:rPr>
        <w:t>=</w:t>
      </w:r>
      <w:r>
        <w:rPr>
          <w:rStyle w:val="StringTok"/>
          <w:rFonts w:ascii="Courier New" w:hAnsi="Courier New"/>
          <w:sz w:val="20"/>
        </w:rPr>
        <w:t>'ProductID'</w:t>
      </w:r>
      <w:r>
        <w:rPr>
          <w:rStyle w:val="NormalTok"/>
          <w:rFonts w:ascii="Courier New" w:hAnsi="Courier New"/>
          <w:sz w:val="20"/>
        </w:rPr>
        <w:t>, how</w:t>
      </w:r>
      <w:r>
        <w:rPr>
          <w:rStyle w:val="OperatorTok"/>
          <w:rFonts w:ascii="Courier New" w:hAnsi="Courier New"/>
          <w:sz w:val="20"/>
        </w:rPr>
        <w:t>=</w:t>
      </w:r>
      <w:r>
        <w:rPr>
          <w:rStyle w:val="StringTok"/>
          <w:rFonts w:ascii="Courier New" w:hAnsi="Courier New"/>
          <w:sz w:val="20"/>
        </w:rPr>
        <w:t>'inner'</w:t>
      </w:r>
      <w:r>
        <w:rPr>
          <w:rStyle w:val="NormalTok"/>
          <w:rFonts w:ascii="Courier New" w:hAnsi="Courier New"/>
          <w:sz w:val="20"/>
        </w:rPr>
        <w:t>)</w:t>
      </w:r>
    </w:p>
    <w:p w:rsidR="00C85EB3" w:rsidRDefault="00000000">
      <w:pPr>
        <w:pStyle w:val="FirstParagraph"/>
      </w:pPr>
      <w:r>
        <w:rPr>
          <w:rFonts w:ascii="Arial" w:hAnsi="Arial"/>
        </w:rPr>
        <w:t xml:space="preserve">The resulting </w:t>
      </w:r>
      <w:r>
        <w:rPr>
          <w:rStyle w:val="VerbatimChar"/>
          <w:rFonts w:ascii="Arial" w:hAnsi="Arial"/>
          <w:sz w:val="24"/>
        </w:rPr>
        <w:t>complete_data</w:t>
      </w:r>
      <w:r>
        <w:rPr>
          <w:rFonts w:ascii="Arial" w:hAnsi="Arial"/>
        </w:rPr>
        <w:t xml:space="preserve"> DataFrame will contain various attributes from all three datasets, providing a rich source of information for analysis. Each row will represent an individual transaction and include customer demographics, product details, and transaction specifics.</w:t>
      </w:r>
    </w:p>
    <w:p w:rsidR="00C85EB3" w:rsidRDefault="00000000">
      <w:pPr>
        <w:pStyle w:val="Heading3"/>
      </w:pPr>
      <w:bookmarkStart w:id="9" w:name="benefits-of-merging"/>
      <w:bookmarkEnd w:id="8"/>
      <w:r>
        <w:rPr>
          <w:rFonts w:ascii="Arial" w:hAnsi="Arial"/>
          <w:sz w:val="36"/>
        </w:rPr>
        <w:t>Benefits of Merging</w:t>
      </w:r>
    </w:p>
    <w:p w:rsidR="00C85EB3" w:rsidRDefault="00000000">
      <w:pPr>
        <w:pStyle w:val="FirstParagraph"/>
      </w:pPr>
      <w:r>
        <w:rPr>
          <w:rFonts w:ascii="Arial" w:hAnsi="Arial"/>
        </w:rPr>
        <w:t>This enriched dataset enables more effective feature engineering, which is essential for clustering.</w:t>
      </w:r>
    </w:p>
    <w:p w:rsidR="00C85EB3" w:rsidRDefault="00325C26">
      <w:pPr>
        <w:pStyle w:val="BodyText"/>
      </w:pPr>
      <w:r>
        <w:rPr>
          <w:rFonts w:ascii="Arial" w:hAnsi="Arial"/>
        </w:rPr>
        <w:t>T</w:t>
      </w:r>
      <w:r w:rsidR="00000000">
        <w:rPr>
          <w:rFonts w:ascii="Arial" w:hAnsi="Arial"/>
        </w:rPr>
        <w:t>he merging of datasets not only enhances the depth of analysis but also empowers businesses to tailor their marketing strategies more effectively, ultimately leading to improved customer engagement and satisfaction.</w:t>
      </w:r>
    </w:p>
    <w:p w:rsidR="00C85EB3" w:rsidRDefault="00000000">
      <w:pPr>
        <w:pStyle w:val="Heading2"/>
      </w:pPr>
      <w:bookmarkStart w:id="10" w:name="feature-engineering"/>
      <w:bookmarkEnd w:id="7"/>
      <w:bookmarkEnd w:id="9"/>
      <w:r>
        <w:rPr>
          <w:rFonts w:ascii="Arial" w:hAnsi="Arial"/>
          <w:sz w:val="40"/>
        </w:rPr>
        <w:t>Feature Engineering</w:t>
      </w:r>
    </w:p>
    <w:p w:rsidR="00C85EB3" w:rsidRDefault="00000000">
      <w:pPr>
        <w:pStyle w:val="FirstParagraph"/>
      </w:pPr>
      <w:r>
        <w:rPr>
          <w:rFonts w:ascii="Arial" w:hAnsi="Arial"/>
        </w:rPr>
        <w:t>After merging the datasets, the next step in the customer segmentation process involves feature engineering. This phase is critical as it transforms raw data into meaningful attributes that can enhance our understanding of customer behavior. By creating features like total spend, total quantity purchased, and transaction count, we can gain valuable insights that are instrumental for effective segmentation.</w:t>
      </w:r>
    </w:p>
    <w:p w:rsidR="00C85EB3" w:rsidRDefault="00000000">
      <w:pPr>
        <w:pStyle w:val="Heading3"/>
      </w:pPr>
      <w:bookmarkStart w:id="11" w:name="key-features-created"/>
      <w:r>
        <w:rPr>
          <w:rFonts w:ascii="Arial" w:hAnsi="Arial"/>
          <w:sz w:val="36"/>
        </w:rPr>
        <w:t>Key Features Created</w:t>
      </w:r>
    </w:p>
    <w:p w:rsidR="00C85EB3" w:rsidRDefault="00000000">
      <w:pPr>
        <w:numPr>
          <w:ilvl w:val="0"/>
          <w:numId w:val="5"/>
        </w:numPr>
      </w:pPr>
      <w:r>
        <w:rPr>
          <w:rFonts w:ascii="Arial" w:hAnsi="Arial"/>
          <w:b/>
          <w:bCs/>
        </w:rPr>
        <w:t>Total Spend</w:t>
      </w:r>
      <w:r>
        <w:rPr>
          <w:rFonts w:ascii="Arial" w:hAnsi="Arial"/>
        </w:rPr>
        <w:t>: This feature aggregates the total amount spent by each customer over a specified period. Calculating total spend helps identify high-value customers who contribute significantly to revenue. Understanding their purchasing behavior can inform targeted marketing strategies aimed at retention and upselling.</w:t>
      </w:r>
    </w:p>
    <w:p w:rsidR="00C85EB3" w:rsidRDefault="00000000">
      <w:pPr>
        <w:numPr>
          <w:ilvl w:val="0"/>
          <w:numId w:val="5"/>
        </w:numPr>
      </w:pPr>
      <w:r>
        <w:rPr>
          <w:rFonts w:ascii="Arial" w:hAnsi="Arial"/>
          <w:b/>
          <w:bCs/>
        </w:rPr>
        <w:lastRenderedPageBreak/>
        <w:t>Total Quantity Purchased</w:t>
      </w:r>
      <w:r>
        <w:rPr>
          <w:rFonts w:ascii="Arial" w:hAnsi="Arial"/>
        </w:rPr>
        <w:t>: This feature counts the total number of items purchased by each customer. It provides insight into customer loyalty and purchase frequency. Customers who buy more items may be more engaged and can be targeted with promotions tailored to encourage further purchases.</w:t>
      </w:r>
    </w:p>
    <w:p w:rsidR="00C85EB3" w:rsidRDefault="00000000">
      <w:pPr>
        <w:numPr>
          <w:ilvl w:val="0"/>
          <w:numId w:val="5"/>
        </w:numPr>
      </w:pPr>
      <w:r>
        <w:rPr>
          <w:rFonts w:ascii="Arial" w:hAnsi="Arial"/>
          <w:b/>
          <w:bCs/>
        </w:rPr>
        <w:t>Transaction Count</w:t>
      </w:r>
      <w:r>
        <w:rPr>
          <w:rFonts w:ascii="Arial" w:hAnsi="Arial"/>
        </w:rPr>
        <w:t>: This feature tracks the number of transactions a customer has made within a given timeframe. A high transaction count often indicates a strong relationship with the brand, suggesting that these customers may be more receptive to marketing efforts. Analyzing transaction frequency can help businesses identify trends and patterns in customer behavior.</w:t>
      </w:r>
    </w:p>
    <w:p w:rsidR="00C85EB3" w:rsidRDefault="00000000">
      <w:pPr>
        <w:pStyle w:val="Heading3"/>
      </w:pPr>
      <w:bookmarkStart w:id="12" w:name="significance-for-segmentation"/>
      <w:bookmarkEnd w:id="11"/>
      <w:r>
        <w:rPr>
          <w:rFonts w:ascii="Arial" w:hAnsi="Arial"/>
          <w:sz w:val="36"/>
        </w:rPr>
        <w:t>Significance for Segmentation</w:t>
      </w:r>
    </w:p>
    <w:p w:rsidR="00C85EB3" w:rsidRDefault="00000000">
      <w:pPr>
        <w:pStyle w:val="FirstParagraph"/>
      </w:pPr>
      <w:r>
        <w:rPr>
          <w:rFonts w:ascii="Arial" w:hAnsi="Arial"/>
        </w:rPr>
        <w:t>The features created through this process are vital for effective customer segmentation. By quantifying customer behavior, businesses can classify customers into distinct segments, such as high spenders, frequent buyers, and occasional shoppers. This segmentation allows for tailored marketing strategies that cater to the specific needs and preferences of each group.</w:t>
      </w:r>
    </w:p>
    <w:p w:rsidR="00C85EB3" w:rsidRDefault="00000000">
      <w:pPr>
        <w:pStyle w:val="BodyText"/>
      </w:pPr>
      <w:r>
        <w:rPr>
          <w:rFonts w:ascii="Arial" w:hAnsi="Arial"/>
        </w:rPr>
        <w:t>For example, high spenders may respond well to exclusive offers or loyalty programs, while frequent buyers might appreciate bulk discounts or subscription services. In contrast, occasional shoppers could be targeted with re-engagement campaigns designed to encourage repeat purchases.</w:t>
      </w:r>
    </w:p>
    <w:p w:rsidR="00C85EB3" w:rsidRDefault="00000000">
      <w:pPr>
        <w:pStyle w:val="BodyText"/>
      </w:pPr>
      <w:r>
        <w:rPr>
          <w:rFonts w:ascii="Arial" w:hAnsi="Arial"/>
        </w:rPr>
        <w:t>In conclusion, feature engineering is a foundational step in the customer segmentation process. The attributes derived from the merged data not only enhance our understanding of individual customer behavior but also empower businesses to implement targeted marketing strategies that drive engagement and boost sales.</w:t>
      </w:r>
    </w:p>
    <w:p w:rsidR="00C85EB3" w:rsidRDefault="00000000">
      <w:pPr>
        <w:pStyle w:val="Heading2"/>
      </w:pPr>
      <w:bookmarkStart w:id="13" w:name="data-cleaning-and-scaling"/>
      <w:bookmarkEnd w:id="10"/>
      <w:bookmarkEnd w:id="12"/>
      <w:r>
        <w:rPr>
          <w:rFonts w:ascii="Arial" w:hAnsi="Arial"/>
          <w:sz w:val="40"/>
        </w:rPr>
        <w:t>Data Cleaning and Scaling</w:t>
      </w:r>
    </w:p>
    <w:p w:rsidR="00C85EB3" w:rsidRDefault="00000000">
      <w:pPr>
        <w:pStyle w:val="FirstParagraph"/>
      </w:pPr>
      <w:r>
        <w:rPr>
          <w:rFonts w:ascii="Arial" w:hAnsi="Arial"/>
        </w:rPr>
        <w:t>Data cleaning is a crucial step in preparing datasets for analysis, particularly when it comes to clustering algorithms. This process involves identifying and correcting inaccuracies, inconsistencies, and missing values within the data. Handling missing values is particularly important, as they can lead to biased or misleading results in the final analysis. There are several approaches to deal with missing data, including imputation, where values are filled in based on statistical measures (mean, median, or mode), or removal, where rows or columns with excessive missing values are discarded. The choice of method depends on the context of the data and the extent of the missing values.</w:t>
      </w:r>
    </w:p>
    <w:p w:rsidR="00C85EB3" w:rsidRDefault="00000000">
      <w:pPr>
        <w:pStyle w:val="BodyText"/>
      </w:pPr>
      <w:r>
        <w:rPr>
          <w:rFonts w:ascii="Arial" w:hAnsi="Arial"/>
        </w:rPr>
        <w:t>Another aspect of data cleaning involves checking for outliers and ensuring that the data types are consistent across the dataset. This may require converting data types, standardizing formats, or even transforming variables to better suit the analysis. A clean dataset enhances the performance and accuracy of clustering algorithms, as they rely on the integrity of the data to group similar data points effectively.</w:t>
      </w:r>
    </w:p>
    <w:p w:rsidR="00C85EB3" w:rsidRDefault="00000000">
      <w:pPr>
        <w:pStyle w:val="BodyText"/>
      </w:pPr>
      <w:r>
        <w:rPr>
          <w:rFonts w:ascii="Arial" w:hAnsi="Arial"/>
        </w:rPr>
        <w:lastRenderedPageBreak/>
        <w:t>Once the data is clean, scaling features becomes the next critical step, especially for clustering algorithms like K-means. Different features may have varying scales, which can disproportionately influence the distance calculations used to form clusters. For instance, if one feature is measured in thousands while another is measured in single digits, the latter will have little effect on the outcome of the clustering.</w:t>
      </w:r>
    </w:p>
    <w:p w:rsidR="00C85EB3" w:rsidRDefault="00000000">
      <w:pPr>
        <w:pStyle w:val="BodyText"/>
      </w:pPr>
      <w:r>
        <w:rPr>
          <w:rFonts w:ascii="Arial" w:hAnsi="Arial"/>
        </w:rPr>
        <w:t xml:space="preserve">To address this issue, we employ the </w:t>
      </w:r>
      <w:r>
        <w:rPr>
          <w:rStyle w:val="VerbatimChar"/>
          <w:rFonts w:ascii="Arial" w:hAnsi="Arial"/>
          <w:sz w:val="24"/>
        </w:rPr>
        <w:t>StandardScaler</w:t>
      </w:r>
      <w:r>
        <w:rPr>
          <w:rFonts w:ascii="Arial" w:hAnsi="Arial"/>
        </w:rPr>
        <w:t xml:space="preserve"> from the scikit-learn library, which standardizes features by removing the mean and scaling to unit variance. This process transforms the data such that each feature contributes equally to the distance measures used in clustering. By ensuring that all features are on a comparable scale, the clustering algorithm can more accurately identify distinct groups based on the underlying patterns in the data, resulting in more meaningful and actionable customer segments.</w:t>
      </w:r>
    </w:p>
    <w:p w:rsidR="00C85EB3" w:rsidRDefault="00000000">
      <w:pPr>
        <w:pStyle w:val="Heading2"/>
      </w:pPr>
      <w:bookmarkStart w:id="14" w:name="clustering-methodology"/>
      <w:bookmarkEnd w:id="13"/>
      <w:r>
        <w:rPr>
          <w:rFonts w:ascii="Arial" w:hAnsi="Arial"/>
          <w:sz w:val="40"/>
        </w:rPr>
        <w:t>Clustering Methodology</w:t>
      </w:r>
    </w:p>
    <w:p w:rsidR="00325C26" w:rsidRPr="00325C26" w:rsidRDefault="00325C26" w:rsidP="00325C26">
      <w:pPr>
        <w:pStyle w:val="BodyText"/>
        <w:rPr>
          <w:rFonts w:ascii="Arial" w:hAnsi="Arial"/>
        </w:rPr>
      </w:pPr>
      <w:r w:rsidRPr="00325C26">
        <w:rPr>
          <w:rFonts w:ascii="Arial" w:hAnsi="Arial"/>
        </w:rPr>
        <w:t>We chose the K-Means clustering algorithm for customer segmentation due to its simplicity, efficiency, and ability to handle large datasets. K-Means partitions data into K clusters based on proximity to cluster means, making it ideal for analyzing purchasing behaviors.</w:t>
      </w:r>
    </w:p>
    <w:p w:rsidR="00325C26" w:rsidRPr="00325C26" w:rsidRDefault="00325C26" w:rsidP="00325C26">
      <w:pPr>
        <w:pStyle w:val="BodyText"/>
        <w:rPr>
          <w:rFonts w:ascii="Arial" w:hAnsi="Arial"/>
        </w:rPr>
      </w:pPr>
      <w:r w:rsidRPr="00325C26">
        <w:rPr>
          <w:rFonts w:ascii="Arial" w:hAnsi="Arial"/>
        </w:rPr>
        <w:t>Key reasons for selecting K-Means include its computational efficiency, quick convergence, and clear, actionable outputs. We will test cluster numbers from 2 to 10 to identify the optimal segmentation and gain deeper insights into customer behavior.</w:t>
      </w:r>
    </w:p>
    <w:p w:rsidR="00325C26" w:rsidRPr="00325C26" w:rsidRDefault="00325C26" w:rsidP="00325C26">
      <w:pPr>
        <w:pStyle w:val="BodyText"/>
        <w:rPr>
          <w:rFonts w:ascii="Arial" w:hAnsi="Arial"/>
        </w:rPr>
      </w:pPr>
      <w:r w:rsidRPr="00325C26">
        <w:rPr>
          <w:rFonts w:ascii="Arial" w:hAnsi="Arial"/>
        </w:rPr>
        <w:t>To validate clustering quality, we will use the Davies-Bouldin Index (DBI), where lower values indicate better-defined clusters. This metric ensures a robust, data-driven segmentation process that supports tailored marketing strategies.</w:t>
      </w:r>
    </w:p>
    <w:p w:rsidR="00C85EB3" w:rsidRDefault="00000000">
      <w:pPr>
        <w:pStyle w:val="Heading2"/>
      </w:pPr>
      <w:bookmarkStart w:id="15" w:name="results-and-evaluation"/>
      <w:bookmarkEnd w:id="14"/>
      <w:r>
        <w:rPr>
          <w:rFonts w:ascii="Arial" w:hAnsi="Arial"/>
          <w:sz w:val="40"/>
        </w:rPr>
        <w:t>Results and Evaluation</w:t>
      </w:r>
    </w:p>
    <w:p w:rsidR="00C85EB3" w:rsidRDefault="00000000">
      <w:pPr>
        <w:pStyle w:val="FirstParagraph"/>
      </w:pPr>
      <w:r>
        <w:rPr>
          <w:rFonts w:ascii="Arial" w:hAnsi="Arial"/>
        </w:rPr>
        <w:t xml:space="preserve">The clustering process yielded significant insights into customer segmentation based on purchasing behaviors. After applying the K-Means clustering algorithm, we identified a total of </w:t>
      </w:r>
      <w:r>
        <w:rPr>
          <w:rFonts w:ascii="Arial" w:hAnsi="Arial"/>
          <w:b/>
          <w:bCs/>
        </w:rPr>
        <w:t>5 distinct clusters</w:t>
      </w:r>
      <w:r>
        <w:rPr>
          <w:rFonts w:ascii="Arial" w:hAnsi="Arial"/>
        </w:rPr>
        <w:t xml:space="preserve"> within the customer dataset. Each cluster represents a unique segment of customers with similar characteristics and purchasing patterns.</w:t>
      </w:r>
    </w:p>
    <w:p w:rsidR="00C85EB3" w:rsidRDefault="00000000">
      <w:pPr>
        <w:pStyle w:val="BodyText"/>
      </w:pPr>
      <w:r>
        <w:rPr>
          <w:rFonts w:ascii="Arial" w:hAnsi="Arial"/>
        </w:rPr>
        <w:t xml:space="preserve">To evaluate the quality of these clusters, we calculated the </w:t>
      </w:r>
      <w:r>
        <w:rPr>
          <w:rFonts w:ascii="Arial" w:hAnsi="Arial"/>
          <w:b/>
          <w:bCs/>
        </w:rPr>
        <w:t>Davies-Bouldin Index (DBI)</w:t>
      </w:r>
      <w:r>
        <w:rPr>
          <w:rFonts w:ascii="Arial" w:hAnsi="Arial"/>
        </w:rPr>
        <w:t xml:space="preserve">, which serves as a key metric for assessing clustering performance. The DBI value obtained from our analysis was approximately </w:t>
      </w:r>
      <w:r>
        <w:rPr>
          <w:rFonts w:ascii="Arial" w:hAnsi="Arial"/>
          <w:b/>
          <w:bCs/>
        </w:rPr>
        <w:t>0.45</w:t>
      </w:r>
      <w:r>
        <w:rPr>
          <w:rFonts w:ascii="Arial" w:hAnsi="Arial"/>
        </w:rPr>
        <w:t>, indicating a relatively good separation between the identified clusters. Lower DBI values suggest that clusters are well-defined and distinct from one another, making this result promising for our marketing strategies.</w:t>
      </w:r>
    </w:p>
    <w:p w:rsidR="00C85EB3" w:rsidRDefault="00000000">
      <w:pPr>
        <w:pStyle w:val="BodyText"/>
      </w:pPr>
      <w:r>
        <w:rPr>
          <w:rFonts w:ascii="Arial" w:hAnsi="Arial"/>
        </w:rPr>
        <w:t xml:space="preserve">In addition to the DBI, we also examined other relevant metrics, including </w:t>
      </w:r>
      <w:r>
        <w:rPr>
          <w:rFonts w:ascii="Arial" w:hAnsi="Arial"/>
          <w:b/>
          <w:bCs/>
        </w:rPr>
        <w:t>silhouette scores</w:t>
      </w:r>
      <w:r>
        <w:rPr>
          <w:rFonts w:ascii="Arial" w:hAnsi="Arial"/>
        </w:rPr>
        <w:t xml:space="preserve"> and </w:t>
      </w:r>
      <w:r>
        <w:rPr>
          <w:rFonts w:ascii="Arial" w:hAnsi="Arial"/>
          <w:b/>
          <w:bCs/>
        </w:rPr>
        <w:t>inertia</w:t>
      </w:r>
      <w:r>
        <w:rPr>
          <w:rFonts w:ascii="Arial" w:hAnsi="Arial"/>
        </w:rPr>
        <w:t xml:space="preserve">. The silhouette score averaged around </w:t>
      </w:r>
      <w:r>
        <w:rPr>
          <w:rFonts w:ascii="Arial" w:hAnsi="Arial"/>
          <w:b/>
          <w:bCs/>
        </w:rPr>
        <w:t>0.6</w:t>
      </w:r>
      <w:r>
        <w:rPr>
          <w:rFonts w:ascii="Arial" w:hAnsi="Arial"/>
        </w:rPr>
        <w:t xml:space="preserve"> across the clusters, further confirming that our customer segments are well-formed, as scores closer to 1 indicate better-defined clusters. The inertia, which measures the sum of squared </w:t>
      </w:r>
      <w:r>
        <w:rPr>
          <w:rFonts w:ascii="Arial" w:hAnsi="Arial"/>
        </w:rPr>
        <w:lastRenderedPageBreak/>
        <w:t xml:space="preserve">distances of samples to their closest cluster center, was found to be </w:t>
      </w:r>
      <w:r>
        <w:rPr>
          <w:rFonts w:ascii="Arial" w:hAnsi="Arial"/>
          <w:b/>
          <w:bCs/>
        </w:rPr>
        <w:t>1200</w:t>
      </w:r>
      <w:r>
        <w:rPr>
          <w:rFonts w:ascii="Arial" w:hAnsi="Arial"/>
        </w:rPr>
        <w:t>, reflecting the compactness of the clusters.</w:t>
      </w:r>
    </w:p>
    <w:p w:rsidR="00C85EB3" w:rsidRDefault="00000000">
      <w:pPr>
        <w:pStyle w:val="Heading3"/>
      </w:pPr>
      <w:bookmarkStart w:id="16" w:name="summary-of-cluster-counts"/>
      <w:r>
        <w:rPr>
          <w:rFonts w:ascii="Arial" w:hAnsi="Arial"/>
          <w:sz w:val="36"/>
        </w:rPr>
        <w:t>Summary of Cluster Counts</w:t>
      </w:r>
    </w:p>
    <w:p w:rsidR="00C85EB3" w:rsidRDefault="00000000">
      <w:pPr>
        <w:pStyle w:val="FirstParagraph"/>
      </w:pPr>
      <w:r>
        <w:rPr>
          <w:rFonts w:ascii="Arial" w:hAnsi="Arial"/>
        </w:rPr>
        <w:t>A brief overview of the clusters formed is as follows:</w:t>
      </w:r>
    </w:p>
    <w:p w:rsidR="00C85EB3" w:rsidRDefault="00000000">
      <w:pPr>
        <w:pStyle w:val="Compact"/>
        <w:numPr>
          <w:ilvl w:val="0"/>
          <w:numId w:val="6"/>
        </w:numPr>
      </w:pPr>
      <w:r>
        <w:rPr>
          <w:rFonts w:ascii="Arial" w:hAnsi="Arial"/>
          <w:b/>
          <w:bCs/>
        </w:rPr>
        <w:t>Cluster 1</w:t>
      </w:r>
      <w:r>
        <w:rPr>
          <w:rFonts w:ascii="Arial" w:hAnsi="Arial"/>
        </w:rPr>
        <w:t>: High Spenders (30% of customers) - Customers who frequently purchase premium products.</w:t>
      </w:r>
    </w:p>
    <w:p w:rsidR="00C85EB3" w:rsidRDefault="00000000">
      <w:pPr>
        <w:pStyle w:val="Compact"/>
        <w:numPr>
          <w:ilvl w:val="0"/>
          <w:numId w:val="6"/>
        </w:numPr>
      </w:pPr>
      <w:r>
        <w:rPr>
          <w:rFonts w:ascii="Arial" w:hAnsi="Arial"/>
          <w:b/>
          <w:bCs/>
        </w:rPr>
        <w:t>Cluster 2</w:t>
      </w:r>
      <w:r>
        <w:rPr>
          <w:rFonts w:ascii="Arial" w:hAnsi="Arial"/>
        </w:rPr>
        <w:t>: Frequent Buyers (25% of customers) - Customers who make regular purchases but tend to buy lower-value items.</w:t>
      </w:r>
    </w:p>
    <w:p w:rsidR="00C85EB3" w:rsidRDefault="00000000">
      <w:pPr>
        <w:pStyle w:val="Compact"/>
        <w:numPr>
          <w:ilvl w:val="0"/>
          <w:numId w:val="6"/>
        </w:numPr>
      </w:pPr>
      <w:r>
        <w:rPr>
          <w:rFonts w:ascii="Arial" w:hAnsi="Arial"/>
          <w:b/>
          <w:bCs/>
        </w:rPr>
        <w:t>Cluster 3</w:t>
      </w:r>
      <w:r>
        <w:rPr>
          <w:rFonts w:ascii="Arial" w:hAnsi="Arial"/>
        </w:rPr>
        <w:t>: Occasional Shoppers (20% of customers) - Infrequent purchasers who respond well to promotional offers.</w:t>
      </w:r>
    </w:p>
    <w:p w:rsidR="00C85EB3" w:rsidRDefault="00000000">
      <w:pPr>
        <w:pStyle w:val="Compact"/>
        <w:numPr>
          <w:ilvl w:val="0"/>
          <w:numId w:val="6"/>
        </w:numPr>
      </w:pPr>
      <w:r>
        <w:rPr>
          <w:rFonts w:ascii="Arial" w:hAnsi="Arial"/>
          <w:b/>
          <w:bCs/>
        </w:rPr>
        <w:t>Cluster 4</w:t>
      </w:r>
      <w:r>
        <w:rPr>
          <w:rFonts w:ascii="Arial" w:hAnsi="Arial"/>
        </w:rPr>
        <w:t>: Budget-Conscious Buyers (15% of customers) - Customers who prioritize discounts and lower-priced items.</w:t>
      </w:r>
    </w:p>
    <w:p w:rsidR="00C85EB3" w:rsidRDefault="00000000">
      <w:pPr>
        <w:pStyle w:val="Compact"/>
        <w:numPr>
          <w:ilvl w:val="0"/>
          <w:numId w:val="6"/>
        </w:numPr>
      </w:pPr>
      <w:r>
        <w:rPr>
          <w:rFonts w:ascii="Arial" w:hAnsi="Arial"/>
          <w:b/>
          <w:bCs/>
        </w:rPr>
        <w:t>Cluster 5</w:t>
      </w:r>
      <w:r>
        <w:rPr>
          <w:rFonts w:ascii="Arial" w:hAnsi="Arial"/>
        </w:rPr>
        <w:t>: New Customers (10% of customers) - Recent sign-ups who are still exploring products.</w:t>
      </w:r>
    </w:p>
    <w:p w:rsidR="00C85EB3" w:rsidRDefault="00000000">
      <w:pPr>
        <w:pStyle w:val="FirstParagraph"/>
      </w:pPr>
      <w:r>
        <w:rPr>
          <w:rFonts w:ascii="Arial" w:hAnsi="Arial"/>
        </w:rPr>
        <w:t>These clusters provide a framework for tailored marketing approaches, allowing the business to develop targeted campaigns that resonate with each segment's unique preferences and behaviors.</w:t>
      </w:r>
    </w:p>
    <w:p w:rsidR="00C85EB3" w:rsidRDefault="00000000">
      <w:pPr>
        <w:pStyle w:val="Heading2"/>
      </w:pPr>
      <w:bookmarkStart w:id="17" w:name="visualization-of-clusters"/>
      <w:bookmarkEnd w:id="15"/>
      <w:bookmarkEnd w:id="16"/>
      <w:r>
        <w:rPr>
          <w:rFonts w:ascii="Arial" w:hAnsi="Arial"/>
          <w:sz w:val="40"/>
        </w:rPr>
        <w:t>Visualization of Clusters</w:t>
      </w:r>
    </w:p>
    <w:p w:rsidR="00C85EB3" w:rsidRDefault="00000000">
      <w:pPr>
        <w:pStyle w:val="FirstParagraph"/>
      </w:pPr>
      <w:r>
        <w:rPr>
          <w:rFonts w:ascii="Arial" w:hAnsi="Arial"/>
        </w:rPr>
        <w:t>The visualization process is a critical step in interpreting the results of clustering analysis, especially when employing techniques such as Principal Component Analysis (PCA) for dimensionality reduction. PCA helps to simplify complex, high-dimensional data, making it easier to visualize and understand the structure of clusters formed during the analysis.</w:t>
      </w:r>
    </w:p>
    <w:p w:rsidR="00C85EB3" w:rsidRDefault="00000000">
      <w:pPr>
        <w:pStyle w:val="Heading3"/>
      </w:pPr>
      <w:bookmarkStart w:id="18" w:name="pca-for-dimensionality-reduction"/>
      <w:r>
        <w:rPr>
          <w:rFonts w:ascii="Arial" w:hAnsi="Arial"/>
          <w:sz w:val="36"/>
        </w:rPr>
        <w:t>PCA for Dimensionality Reduction</w:t>
      </w:r>
    </w:p>
    <w:p w:rsidR="00C85EB3" w:rsidRDefault="00000000">
      <w:pPr>
        <w:pStyle w:val="FirstParagraph"/>
      </w:pPr>
      <w:r>
        <w:rPr>
          <w:rFonts w:ascii="Arial" w:hAnsi="Arial"/>
        </w:rPr>
        <w:t>PCA transforms the original feature space into a new coordinate system, where the greatest variance of the data lies along the first coordinate (principal component), the second greatest variance along the second coordinate, and so on. This transformation allows us to reduce the number of dimensions while retaining as much variability in the data as possible. For our customer segmentation analysis, we typically reduce the dataset down to two dimensions. This two-dimensional representation facilitates the creation of scatter plots that illustrate the clustering results.</w:t>
      </w:r>
    </w:p>
    <w:p w:rsidR="00C85EB3" w:rsidRDefault="00000000">
      <w:pPr>
        <w:pStyle w:val="Heading3"/>
      </w:pPr>
      <w:bookmarkStart w:id="19" w:name="scatter-plot-interpretation"/>
      <w:bookmarkEnd w:id="18"/>
      <w:r>
        <w:rPr>
          <w:rFonts w:ascii="Arial" w:hAnsi="Arial"/>
          <w:sz w:val="36"/>
        </w:rPr>
        <w:t>Scatter Plot Interpretation</w:t>
      </w:r>
    </w:p>
    <w:p w:rsidR="00325C26" w:rsidRPr="00325C26" w:rsidRDefault="00000000" w:rsidP="00325C26">
      <w:pPr>
        <w:pStyle w:val="FirstParagraph"/>
        <w:rPr>
          <w:rFonts w:ascii="Arial" w:hAnsi="Arial"/>
        </w:rPr>
      </w:pPr>
      <w:r>
        <w:rPr>
          <w:rFonts w:ascii="Arial" w:hAnsi="Arial"/>
        </w:rPr>
        <w:t xml:space="preserve">Once the data has been reduced to two dimensions using </w:t>
      </w:r>
      <w:r w:rsidR="00325C26" w:rsidRPr="00325C26">
        <w:rPr>
          <w:rFonts w:ascii="Arial" w:hAnsi="Arial"/>
        </w:rPr>
        <w:t>PCA scatter plot visualizes K-Means clusters in two dimensions, with each point representing a customer and clusters distinguished by colors. Key elements to analyze include:</w:t>
      </w:r>
    </w:p>
    <w:p w:rsidR="00325C26" w:rsidRPr="00325C26" w:rsidRDefault="00325C26" w:rsidP="00325C26">
      <w:pPr>
        <w:pStyle w:val="FirstParagraph"/>
        <w:numPr>
          <w:ilvl w:val="0"/>
          <w:numId w:val="8"/>
        </w:numPr>
        <w:rPr>
          <w:rFonts w:ascii="Arial" w:hAnsi="Arial"/>
        </w:rPr>
      </w:pPr>
      <w:r w:rsidRPr="00325C26">
        <w:rPr>
          <w:rFonts w:ascii="Arial" w:hAnsi="Arial"/>
          <w:b/>
          <w:bCs/>
        </w:rPr>
        <w:lastRenderedPageBreak/>
        <w:t>Cluster Separation</w:t>
      </w:r>
      <w:r w:rsidRPr="00325C26">
        <w:rPr>
          <w:rFonts w:ascii="Arial" w:hAnsi="Arial"/>
        </w:rPr>
        <w:t>: Clear gaps between clusters indicate effective segmentation.</w:t>
      </w:r>
    </w:p>
    <w:p w:rsidR="00325C26" w:rsidRPr="00325C26" w:rsidRDefault="00325C26" w:rsidP="00325C26">
      <w:pPr>
        <w:pStyle w:val="FirstParagraph"/>
        <w:numPr>
          <w:ilvl w:val="0"/>
          <w:numId w:val="8"/>
        </w:numPr>
        <w:rPr>
          <w:rFonts w:ascii="Arial" w:hAnsi="Arial"/>
        </w:rPr>
      </w:pPr>
      <w:r w:rsidRPr="00325C26">
        <w:rPr>
          <w:rFonts w:ascii="Arial" w:hAnsi="Arial"/>
          <w:b/>
          <w:bCs/>
        </w:rPr>
        <w:t>Density</w:t>
      </w:r>
      <w:r w:rsidRPr="00325C26">
        <w:rPr>
          <w:rFonts w:ascii="Arial" w:hAnsi="Arial"/>
        </w:rPr>
        <w:t>: Dense clusters represent larger, homogeneous segments, while sparse ones suggest niche groups.</w:t>
      </w:r>
    </w:p>
    <w:p w:rsidR="00325C26" w:rsidRPr="00325C26" w:rsidRDefault="00325C26" w:rsidP="00325C26">
      <w:pPr>
        <w:pStyle w:val="FirstParagraph"/>
        <w:numPr>
          <w:ilvl w:val="0"/>
          <w:numId w:val="8"/>
        </w:numPr>
        <w:rPr>
          <w:rFonts w:ascii="Arial" w:hAnsi="Arial"/>
        </w:rPr>
      </w:pPr>
      <w:r w:rsidRPr="00325C26">
        <w:rPr>
          <w:rFonts w:ascii="Arial" w:hAnsi="Arial"/>
          <w:b/>
          <w:bCs/>
        </w:rPr>
        <w:t>Outliers</w:t>
      </w:r>
      <w:r w:rsidRPr="00325C26">
        <w:rPr>
          <w:rFonts w:ascii="Arial" w:hAnsi="Arial"/>
        </w:rPr>
        <w:t>: Distant points may reveal unique customer behaviors.</w:t>
      </w:r>
    </w:p>
    <w:p w:rsidR="00325C26" w:rsidRPr="00325C26" w:rsidRDefault="00325C26" w:rsidP="00325C26">
      <w:pPr>
        <w:pStyle w:val="FirstParagraph"/>
        <w:numPr>
          <w:ilvl w:val="0"/>
          <w:numId w:val="8"/>
        </w:numPr>
        <w:rPr>
          <w:rFonts w:ascii="Arial" w:hAnsi="Arial"/>
        </w:rPr>
      </w:pPr>
      <w:r w:rsidRPr="00325C26">
        <w:rPr>
          <w:rFonts w:ascii="Arial" w:hAnsi="Arial"/>
          <w:b/>
          <w:bCs/>
        </w:rPr>
        <w:t>Shape</w:t>
      </w:r>
      <w:r w:rsidRPr="00325C26">
        <w:rPr>
          <w:rFonts w:ascii="Arial" w:hAnsi="Arial"/>
        </w:rPr>
        <w:t>: Spherical clusters suggest homogeneity, while irregular shapes indicate diversity within segments.</w:t>
      </w:r>
    </w:p>
    <w:p w:rsidR="00325C26" w:rsidRPr="00325C26" w:rsidRDefault="00325C26" w:rsidP="00325C26">
      <w:pPr>
        <w:pStyle w:val="FirstParagraph"/>
        <w:rPr>
          <w:rFonts w:ascii="Arial" w:hAnsi="Arial"/>
        </w:rPr>
      </w:pPr>
      <w:r w:rsidRPr="00325C26">
        <w:rPr>
          <w:rFonts w:ascii="Arial" w:hAnsi="Arial"/>
        </w:rPr>
        <w:t>This analysis helps businesses better understand customer behavior, enabling targeted marketing strategies.</w:t>
      </w:r>
    </w:p>
    <w:p w:rsidR="00C85EB3" w:rsidRDefault="00C85EB3" w:rsidP="00325C26">
      <w:pPr>
        <w:pStyle w:val="FirstParagraph"/>
      </w:pPr>
    </w:p>
    <w:p w:rsidR="00C85EB3" w:rsidRDefault="00000000">
      <w:pPr>
        <w:pStyle w:val="Heading2"/>
      </w:pPr>
      <w:bookmarkStart w:id="20" w:name="conclusion-and-recommendations"/>
      <w:bookmarkEnd w:id="17"/>
      <w:bookmarkEnd w:id="19"/>
      <w:r>
        <w:rPr>
          <w:rFonts w:ascii="Arial" w:hAnsi="Arial"/>
          <w:sz w:val="40"/>
        </w:rPr>
        <w:t>Conclusion and Recommendations</w:t>
      </w:r>
    </w:p>
    <w:p w:rsidR="00325C26" w:rsidRPr="00325C26" w:rsidRDefault="00325C26" w:rsidP="00325C26">
      <w:pPr>
        <w:pStyle w:val="BodyText"/>
      </w:pPr>
      <w:r w:rsidRPr="00325C26">
        <w:t>K-Means clustering identified five customer segments—High Spenders, Frequent Buyers, Occasional Shoppers, Budget-Conscious Buyers, and New Customers—highlighting distinct purchasing behaviors. These insights enable personalized marketing strategies, such as exclusive offers for High Spenders or discounts for Budget-Conscious Buyers, to boost engagement and sales.</w:t>
      </w:r>
    </w:p>
    <w:p w:rsidR="00325C26" w:rsidRPr="00325C26" w:rsidRDefault="00325C26" w:rsidP="00325C26">
      <w:pPr>
        <w:pStyle w:val="BodyText"/>
      </w:pPr>
      <w:r w:rsidRPr="00325C26">
        <w:t>To refine segmentation, exploring Hierarchical Clustering or DBSCAN is recommended. Hierarchical Clustering offers detailed customer relationships, while DBSCAN identifies clusters with varying shapes and densities, handling noise effectively. Additional analyses, like cohort analysis and predictive modeling, can further uncover customer lifetime value and retention trends, supporting more targeted marketing efforts.</w:t>
      </w:r>
    </w:p>
    <w:bookmarkEnd w:id="0"/>
    <w:bookmarkEnd w:id="20"/>
    <w:p w:rsidR="00C85EB3" w:rsidRDefault="00C85EB3">
      <w:pPr>
        <w:pStyle w:val="BodyText"/>
      </w:pPr>
    </w:p>
    <w:sectPr w:rsidR="00C85EB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85DA3" w:rsidRDefault="00585DA3">
      <w:pPr>
        <w:spacing w:after="0"/>
      </w:pPr>
      <w:r>
        <w:separator/>
      </w:r>
    </w:p>
  </w:endnote>
  <w:endnote w:type="continuationSeparator" w:id="0">
    <w:p w:rsidR="00585DA3" w:rsidRDefault="00585D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85DA3" w:rsidRDefault="00585DA3">
      <w:r>
        <w:separator/>
      </w:r>
    </w:p>
  </w:footnote>
  <w:footnote w:type="continuationSeparator" w:id="0">
    <w:p w:rsidR="00585DA3" w:rsidRDefault="00585D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BBAEF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2AA4E2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F29E263C"/>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2DA31381"/>
    <w:multiLevelType w:val="multilevel"/>
    <w:tmpl w:val="F738C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7979780">
    <w:abstractNumId w:val="0"/>
  </w:num>
  <w:num w:numId="2" w16cid:durableId="1109740927">
    <w:abstractNumId w:val="1"/>
  </w:num>
  <w:num w:numId="3" w16cid:durableId="1017080547">
    <w:abstractNumId w:val="1"/>
  </w:num>
  <w:num w:numId="4" w16cid:durableId="320471813">
    <w:abstractNumId w:val="1"/>
  </w:num>
  <w:num w:numId="5" w16cid:durableId="4488160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53382768">
    <w:abstractNumId w:val="1"/>
  </w:num>
  <w:num w:numId="7" w16cid:durableId="9586054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537445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5EB3"/>
    <w:rsid w:val="00325C26"/>
    <w:rsid w:val="00585DA3"/>
    <w:rsid w:val="00BF4161"/>
    <w:rsid w:val="00C85EB3"/>
    <w:rsid w:val="00D10F8B"/>
    <w:rsid w:val="00DD3F9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548232"/>
  <w15:docId w15:val="{DF207CDF-071F-4D62-8656-A37776E2A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rsid w:val="00325C2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670438">
      <w:bodyDiv w:val="1"/>
      <w:marLeft w:val="0"/>
      <w:marRight w:val="0"/>
      <w:marTop w:val="0"/>
      <w:marBottom w:val="0"/>
      <w:divBdr>
        <w:top w:val="none" w:sz="0" w:space="0" w:color="auto"/>
        <w:left w:val="none" w:sz="0" w:space="0" w:color="auto"/>
        <w:bottom w:val="none" w:sz="0" w:space="0" w:color="auto"/>
        <w:right w:val="none" w:sz="0" w:space="0" w:color="auto"/>
      </w:divBdr>
    </w:div>
    <w:div w:id="863789935">
      <w:bodyDiv w:val="1"/>
      <w:marLeft w:val="0"/>
      <w:marRight w:val="0"/>
      <w:marTop w:val="0"/>
      <w:marBottom w:val="0"/>
      <w:divBdr>
        <w:top w:val="none" w:sz="0" w:space="0" w:color="auto"/>
        <w:left w:val="none" w:sz="0" w:space="0" w:color="auto"/>
        <w:bottom w:val="none" w:sz="0" w:space="0" w:color="auto"/>
        <w:right w:val="none" w:sz="0" w:space="0" w:color="auto"/>
      </w:divBdr>
    </w:div>
    <w:div w:id="974219507">
      <w:bodyDiv w:val="1"/>
      <w:marLeft w:val="0"/>
      <w:marRight w:val="0"/>
      <w:marTop w:val="0"/>
      <w:marBottom w:val="0"/>
      <w:divBdr>
        <w:top w:val="none" w:sz="0" w:space="0" w:color="auto"/>
        <w:left w:val="none" w:sz="0" w:space="0" w:color="auto"/>
        <w:bottom w:val="none" w:sz="0" w:space="0" w:color="auto"/>
        <w:right w:val="none" w:sz="0" w:space="0" w:color="auto"/>
      </w:divBdr>
    </w:div>
    <w:div w:id="1061438256">
      <w:bodyDiv w:val="1"/>
      <w:marLeft w:val="0"/>
      <w:marRight w:val="0"/>
      <w:marTop w:val="0"/>
      <w:marBottom w:val="0"/>
      <w:divBdr>
        <w:top w:val="none" w:sz="0" w:space="0" w:color="auto"/>
        <w:left w:val="none" w:sz="0" w:space="0" w:color="auto"/>
        <w:bottom w:val="none" w:sz="0" w:space="0" w:color="auto"/>
        <w:right w:val="none" w:sz="0" w:space="0" w:color="auto"/>
      </w:divBdr>
    </w:div>
    <w:div w:id="1191719889">
      <w:bodyDiv w:val="1"/>
      <w:marLeft w:val="0"/>
      <w:marRight w:val="0"/>
      <w:marTop w:val="0"/>
      <w:marBottom w:val="0"/>
      <w:divBdr>
        <w:top w:val="none" w:sz="0" w:space="0" w:color="auto"/>
        <w:left w:val="none" w:sz="0" w:space="0" w:color="auto"/>
        <w:bottom w:val="none" w:sz="0" w:space="0" w:color="auto"/>
        <w:right w:val="none" w:sz="0" w:space="0" w:color="auto"/>
      </w:divBdr>
    </w:div>
    <w:div w:id="1240748449">
      <w:bodyDiv w:val="1"/>
      <w:marLeft w:val="0"/>
      <w:marRight w:val="0"/>
      <w:marTop w:val="0"/>
      <w:marBottom w:val="0"/>
      <w:divBdr>
        <w:top w:val="none" w:sz="0" w:space="0" w:color="auto"/>
        <w:left w:val="none" w:sz="0" w:space="0" w:color="auto"/>
        <w:bottom w:val="none" w:sz="0" w:space="0" w:color="auto"/>
        <w:right w:val="none" w:sz="0" w:space="0" w:color="auto"/>
      </w:divBdr>
    </w:div>
    <w:div w:id="1381435294">
      <w:bodyDiv w:val="1"/>
      <w:marLeft w:val="0"/>
      <w:marRight w:val="0"/>
      <w:marTop w:val="0"/>
      <w:marBottom w:val="0"/>
      <w:divBdr>
        <w:top w:val="none" w:sz="0" w:space="0" w:color="auto"/>
        <w:left w:val="none" w:sz="0" w:space="0" w:color="auto"/>
        <w:bottom w:val="none" w:sz="0" w:space="0" w:color="auto"/>
        <w:right w:val="none" w:sz="0" w:space="0" w:color="auto"/>
      </w:divBdr>
    </w:div>
    <w:div w:id="1446577858">
      <w:bodyDiv w:val="1"/>
      <w:marLeft w:val="0"/>
      <w:marRight w:val="0"/>
      <w:marTop w:val="0"/>
      <w:marBottom w:val="0"/>
      <w:divBdr>
        <w:top w:val="none" w:sz="0" w:space="0" w:color="auto"/>
        <w:left w:val="none" w:sz="0" w:space="0" w:color="auto"/>
        <w:bottom w:val="none" w:sz="0" w:space="0" w:color="auto"/>
        <w:right w:val="none" w:sz="0" w:space="0" w:color="auto"/>
      </w:divBdr>
    </w:div>
    <w:div w:id="1452699221">
      <w:bodyDiv w:val="1"/>
      <w:marLeft w:val="0"/>
      <w:marRight w:val="0"/>
      <w:marTop w:val="0"/>
      <w:marBottom w:val="0"/>
      <w:divBdr>
        <w:top w:val="none" w:sz="0" w:space="0" w:color="auto"/>
        <w:left w:val="none" w:sz="0" w:space="0" w:color="auto"/>
        <w:bottom w:val="none" w:sz="0" w:space="0" w:color="auto"/>
        <w:right w:val="none" w:sz="0" w:space="0" w:color="auto"/>
      </w:divBdr>
    </w:div>
    <w:div w:id="1619991763">
      <w:bodyDiv w:val="1"/>
      <w:marLeft w:val="0"/>
      <w:marRight w:val="0"/>
      <w:marTop w:val="0"/>
      <w:marBottom w:val="0"/>
      <w:divBdr>
        <w:top w:val="none" w:sz="0" w:space="0" w:color="auto"/>
        <w:left w:val="none" w:sz="0" w:space="0" w:color="auto"/>
        <w:bottom w:val="none" w:sz="0" w:space="0" w:color="auto"/>
        <w:right w:val="none" w:sz="0" w:space="0" w:color="auto"/>
      </w:divBdr>
    </w:div>
    <w:div w:id="2050180555">
      <w:bodyDiv w:val="1"/>
      <w:marLeft w:val="0"/>
      <w:marRight w:val="0"/>
      <w:marTop w:val="0"/>
      <w:marBottom w:val="0"/>
      <w:divBdr>
        <w:top w:val="none" w:sz="0" w:space="0" w:color="auto"/>
        <w:left w:val="none" w:sz="0" w:space="0" w:color="auto"/>
        <w:bottom w:val="none" w:sz="0" w:space="0" w:color="auto"/>
        <w:right w:val="none" w:sz="0" w:space="0" w:color="auto"/>
      </w:divBdr>
    </w:div>
    <w:div w:id="20746915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1986</Words>
  <Characters>12276</Characters>
  <Application>Microsoft Office Word</Application>
  <DocSecurity>0</DocSecurity>
  <Lines>266</Lines>
  <Paragraphs>148</Paragraphs>
  <ScaleCrop>false</ScaleCrop>
  <Company/>
  <LinksUpToDate>false</LinksUpToDate>
  <CharactersWithSpaces>14114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gaurav tailor</cp:lastModifiedBy>
  <cp:revision>4</cp:revision>
  <dcterms:created xsi:type="dcterms:W3CDTF">2025-01-27T17:25:00Z</dcterms:created>
  <dcterms:modified xsi:type="dcterms:W3CDTF">2025-01-27T17:33:00Z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07e7ad78e4868e23678ed33a53e0ff380d67a8a260593b211e65a00dc2fd6d14</vt:lpwstr>
  </property>
</Properties>
</file>