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NovaMind AI — Q2 2026 Financial Performance Report</w:t>
      </w:r>
    </w:p>
    <w:p>
      <w:pPr>
        <w:spacing w:after="200"/>
      </w:pPr>
      <w:r>
        <w:rPr>
          <w:i/>
          <w:iCs/>
        </w:rPr>
        <w:t xml:space="preserve">Series C · FinTech · Reporting Period: Q2 2026 (Apr–Jun)</w:t>
      </w:r>
    </w:p>
    <w:p>
      <w:pPr>
        <w:spacing w:after="200"/>
      </w:pPr>
      <w:r>
        <w:t xml:space="preserve">This report summarizes NovaMind AI's consolidated income statement, AI program spend, and AI-attributable financial impact for the quarter ended 30 June 2026, prepared by the Finance team for portfolio reporting to Summit Capital Partners.</w:t>
      </w:r>
    </w:p>
    <w:p>
      <w:pPr>
        <w:pStyle w:val="Heading2"/>
      </w:pPr>
      <w:r>
        <w:t xml:space="preserve">1. Revenue Performance</w:t>
      </w:r>
    </w:p>
    <w:p>
      <w:pPr>
        <w:spacing w:after="160"/>
      </w:pPr>
      <w:r>
        <w:t xml:space="preserve">Total company revenue base for the trailing twelve months stands at $76.7M. Of this, AI-related revenue lines are broken out below for audit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Revenue Line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base (TTM)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$76.7M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company revenue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AI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$9.8M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AI-native revenue from the AI underwriting product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assisted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$6.1M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Revenue assisted by AI tools embedded in core lending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influenced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$2.5M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AI-sourced pipeline revenue converted to closed deals this quarter</w:t>
            </w:r>
          </w:p>
        </w:tc>
      </w:tr>
    </w:tbl>
    <w:p>
      <w:pPr>
        <w:spacing w:after="200" w:before="160"/>
      </w:pPr>
      <w:r>
        <w:t xml:space="preserve">Direct AI revenue, AI assisted revenue, and pipeline influenced revenue together represent the company's full AI revenue attribution of $18.4M for the quarter, a 22% increase quarter-over-quarter.</w:t>
      </w:r>
    </w:p>
    <w:p>
      <w:pPr>
        <w:pStyle w:val="Heading2"/>
      </w:pPr>
      <w:r>
        <w:t xml:space="preserve">2. AI Operating Spend</w:t>
      </w:r>
    </w:p>
    <w:p>
      <w:pPr>
        <w:spacing w:after="160"/>
      </w:pPr>
      <w:r>
        <w:t xml:space="preserve">Total AI spend for the quarter was $5.2M against an approved AI budget of $5.5M, representing 94% budget utilization. The breakdown of AI cost categories is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$1.9M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licensing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$0.85M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and data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$0.6M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talent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$1.85M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AI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$5.2M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AI budget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$5.53M</w:t>
            </w:r>
          </w:p>
        </w:tc>
      </w:tr>
    </w:tbl>
    <w:p>
      <w:pPr>
        <w:spacing w:after="200" w:before="160"/>
      </w:pPr>
      <w:r>
        <w:t xml:space="preserve">AI cost savings realized through automation and process optimization totaled $3.2M for the quarter, reducing baseline operating expense from a pre-AI opex baseline of $42.0M to a current opex of $38.8M.</w:t>
      </w:r>
    </w:p>
    <w:p>
      <w:pPr>
        <w:pStyle w:val="Heading2"/>
      </w:pPr>
      <w:r>
        <w:t xml:space="preserve">3. Return on AI Investment &amp; EBITDA Impact</w:t>
      </w:r>
    </w:p>
    <w:p>
      <w:pPr>
        <w:spacing w:after="160"/>
      </w:pPr>
      <w:r>
        <w:t xml:space="preserve">AI ROI for the quarter, computed as (AI revenue plus AI cost savings minus AI spend) divided by AI spend, stands at 3.1x, up from 2.6x last quarter.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EBITDA pre AI (baseline)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$8.2M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EBITDA post AI (current)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$15.26M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EBITDA 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$7.06M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$76.7M</w:t>
            </w:r>
          </w:p>
        </w:tc>
      </w:tr>
    </w:tbl>
    <w:p>
      <w:pPr>
        <w:spacing w:after="200" w:before="160"/>
      </w:pPr>
      <w:r>
        <w:t xml:space="preserve">The resulting AI EBITDA uplift is +9.2 percentage points of revenue this quarter, attributable to cost automation savings, headcount efficiency gains, and process optimization in underwriting.</w:t>
      </w:r>
    </w:p>
    <w:p>
      <w:pPr>
        <w:pStyle w:val="Heading2"/>
      </w:pPr>
      <w:r>
        <w:t xml:space="preserve">4. AI Product Gross Margin</w:t>
      </w:r>
    </w:p>
    <w:p>
      <w:pPr>
        <w:spacing w:after="200"/>
      </w:pPr>
      <w:r>
        <w:t xml:space="preserve">The direct AI product line (AI-native revenue of $9.8M) generated AI gross profit of $6.96M this quarter, an AI gross margin contribution of 71%, consistent with prior quarter performance and ahead of the fintech peer benchmark median of 65%.</w:t>
      </w:r>
    </w:p>
    <w:p>
      <w:r>
        <w:rPr>
          <w:i/>
          <w:iCs/>
          <w:color w:val="666666"/>
          <w:sz w:val="18"/>
          <w:szCs w:val="18"/>
        </w:rPr>
        <w:t xml:space="preserve">Prepared by: NovaMind AI Finance Team · Reviewed by: CFO · Distribution: Board, Summit Capital Partners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2026-06-16T06:34:11.910Z</dcterms:created>
  <dcterms:modified xsi:type="dcterms:W3CDTF">2026-06-16T06:34:11.910Z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