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  <w:jc w:val="center"/>
      </w:pPr>
      <w:r>
        <w:rPr>
          <w:b/>
          <w:bCs/>
          <w:color w:val="595959"/>
          <w:spacing w:val="60"/>
          <w:sz w:val="26"/>
          <w:szCs w:val="26"/>
        </w:rPr>
        <w:t xml:space="preserve">TECHNICAL SPECIFICATION</w:t>
      </w:r>
    </w:p>
    <w:p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AI-Powered Executive</w:t>
      </w:r>
    </w:p>
    <w:p>
      <w:pPr>
        <w:spacing w:after="300"/>
        <w:jc w:val="center"/>
      </w:pPr>
      <w:r>
        <w:rPr>
          <w:b/>
          <w:bCs/>
          <w:color w:val="1F4E79"/>
          <w:sz w:val="52"/>
          <w:szCs w:val="52"/>
        </w:rPr>
        <w:t xml:space="preserve">Intelligence Platform</w:t>
      </w:r>
    </w:p>
    <w:p>
      <w:pPr>
        <w:spacing w:after="1400"/>
        <w:jc w:val="center"/>
      </w:pPr>
      <w:r>
        <w:rPr>
          <w:i/>
          <w:iCs/>
          <w:color w:val="595959"/>
          <w:sz w:val="24"/>
          <w:szCs w:val="24"/>
        </w:rPr>
        <w:t xml:space="preserve">Layered architecture, component responsibilities, and data flow for the agent-operated platform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Version 1.0 — Implementation Draft</w:t>
      </w:r>
    </w:p>
    <w:p>
      <w:pPr>
        <w:jc w:val="center"/>
      </w:pPr>
      <w:r>
        <w:rPr>
          <w:color w:val="595959"/>
          <w:sz w:val="22"/>
          <w:szCs w:val="22"/>
        </w:rPr>
        <w:t xml:space="preserve">July 25,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120"/>
      </w:pPr>
      <w:r>
        <w:t xml:space="preserve">This technical specification defines the implementation architecture for the AI-Powered Executive Intelligence Platform. It builds on the product specification and describes the technology stack as a set of layers, the responsibility of each component, and how data flows from external sources through the agent pipeline to the subscriber-facing dashboard.</w:t>
      </w:r>
    </w:p>
    <w:p>
      <w:pPr>
        <w:pStyle w:val="Heading2"/>
        <w:spacing w:after="120" w:before="220"/>
      </w:pPr>
      <w: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Agent-first: content operations are run by autonomous agents, orchestrated deterministically via task graphs.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Separation of concerns: ingestion, orchestration, persistence, and delivery are independently scalable layers.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Isolation of LLMs from systems of record: agents reach data and tools only through controlled context servers.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 by default: every agent action and application error is traceable.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flexibility: model access is abstracted so the platform is not locked to a single LLM vendor.</w:t>
      </w:r>
    </w:p>
    <w:p>
      <w:pPr>
        <w:pStyle w:val="Heading2"/>
        <w:spacing w:after="120" w:before="220"/>
      </w:pPr>
      <w:r>
        <w:t xml:space="preserve">1.2 Version Note</w:t>
      </w:r>
    </w:p>
    <w:p>
      <w:pPr>
        <w:spacing w:after="120"/>
      </w:pPr>
      <w:r>
        <w:t xml:space="preserve">The frontend targets the Next.js 16 stable line (pin to the current Active LTS,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16.2.x</w:t>
      </w:r>
      <w:r>
        <w:t xml:space="preserve">), not the 16.3 preview. Orchestration uses Google ADK 2.0, whose Workflow Runtime provides the graph, loop, retry, and human-in-the-loop primitives this platform relies on. Where ADK's managed deployment implies Google Cloud coupling, the self-hosted, cloud-agnostic path is preferred.</w:t>
      </w:r>
    </w:p>
    <w:p>
      <w:pPr>
        <w:pStyle w:val="Heading1"/>
        <w:spacing w:after="160" w:before="320"/>
      </w:pPr>
      <w:r>
        <w:t xml:space="preserve">2. Layered Architecture</w:t>
      </w:r>
    </w:p>
    <w:p>
      <w:pPr>
        <w:spacing w:after="120"/>
      </w:pPr>
      <w:r>
        <w:t xml:space="preserve">The platform is organized into ten cooperating layers. Requests flow downward from the browser to persistence; ingested content flows upward from sources to the dashboard. Colour groups related layers: delivery, agent, data, and cross-cutting concerns.</w:t>
      </w:r>
    </w:p>
    <w:p>
      <w:pPr>
        <w:spacing w:after="100"/>
      </w:pP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40"/>
      </w:tblGrid>
      <w:tr>
        <w:tc>
          <w:tcPr>
            <w:tcW w:type="dxa" w:w="2600"/>
            <w:shd w:fill="E6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6340"/>
            <w:shd w:fill="E6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Next.js 16 (App Router) · shadcn/ui · Tailwind CSS · deployed on Vercel</w:t>
            </w:r>
          </w:p>
        </w:tc>
      </w:tr>
      <w:tr>
        <w:tc>
          <w:tcPr>
            <w:tcW w:type="dxa" w:w="2600"/>
            <w:shd w:fill="E1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Auth &amp; Billing</w:t>
            </w:r>
          </w:p>
        </w:tc>
        <w:tc>
          <w:tcPr>
            <w:tcW w:type="dxa" w:w="6340"/>
            <w:shd w:fill="E1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Clerk (authentication + RBAC) · Stripe (subscriptions &amp; invoicing)</w:t>
            </w:r>
          </w:p>
        </w:tc>
      </w:tr>
      <w:tr>
        <w:tc>
          <w:tcPr>
            <w:tcW w:type="dxa" w:w="2600"/>
            <w:shd w:fill="E6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API / Edge</w:t>
            </w:r>
          </w:p>
        </w:tc>
        <w:tc>
          <w:tcPr>
            <w:tcW w:type="dxa" w:w="6340"/>
            <w:shd w:fill="E6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FastAPI (Python) · Server-Sent Events for live streaming · rate limiting</w:t>
            </w:r>
          </w:p>
        </w:tc>
      </w:tr>
      <w:tr>
        <w:tc>
          <w:tcPr>
            <w:tcW w:type="dxa" w:w="2600"/>
            <w:shd w:fill="FA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Model Gateway</w:t>
            </w:r>
          </w:p>
        </w:tc>
        <w:tc>
          <w:tcPr>
            <w:tcW w:type="dxa" w:w="6340"/>
            <w:shd w:fill="FA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LLM routing (LiteLLM) · summarization &amp; categorization models · key management</w:t>
            </w:r>
          </w:p>
        </w:tc>
      </w:tr>
      <w:tr>
        <w:tc>
          <w:tcPr>
            <w:tcW w:type="dxa" w:w="2600"/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340"/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ADK 2.0 — task graphs, loop controls, human-in-the-loop</w:t>
            </w:r>
          </w:p>
        </w:tc>
      </w:tr>
      <w:tr>
        <w:tc>
          <w:tcPr>
            <w:tcW w:type="dxa" w:w="2600"/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Middleware</w:t>
            </w:r>
          </w:p>
        </w:tc>
        <w:tc>
          <w:tcPr>
            <w:tcW w:type="dxa" w:w="6340"/>
            <w:shd w:fill="EEED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FastMCP context servers — controlled tool/data access for agents</w:t>
            </w:r>
          </w:p>
        </w:tc>
      </w:tr>
      <w:tr>
        <w:tc>
          <w:tcPr>
            <w:tcW w:type="dxa" w:w="2600"/>
            <w:shd w:fill="E1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6340"/>
            <w:shd w:fill="E1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Celery + Redis — arXiv batch crons, RSS listeners, enrichment jobs</w:t>
            </w:r>
          </w:p>
        </w:tc>
      </w:tr>
      <w:tr>
        <w:tc>
          <w:tcPr>
            <w:tcW w:type="dxa" w:w="2600"/>
            <w:shd w:fill="E1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Ingestion</w:t>
            </w:r>
          </w:p>
        </w:tc>
        <w:tc>
          <w:tcPr>
            <w:tcW w:type="dxa" w:w="6340"/>
            <w:shd w:fill="E1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Crawler &amp; fetch layer (Playwright / readability) · robots.txt compliance</w:t>
            </w:r>
          </w:p>
        </w:tc>
      </w:tr>
      <w:tr>
        <w:tc>
          <w:tcPr>
            <w:tcW w:type="dxa" w:w="2600"/>
            <w:shd w:fill="E6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340"/>
            <w:shd w:fill="E6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 (transactional) · Pinecone (vectors) · object storage (S3/GCS/R2) · search index</w:t>
            </w:r>
          </w:p>
        </w:tc>
      </w:tr>
      <w:tr>
        <w:tc>
          <w:tcPr>
            <w:tcW w:type="dxa" w:w="2600"/>
            <w:shd w:fill="FB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Observability &amp; Safety</w:t>
            </w:r>
          </w:p>
        </w:tc>
        <w:tc>
          <w:tcPr>
            <w:tcW w:type="dxa" w:w="6340"/>
            <w:shd w:fill="FB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Langfuse (agent traces) · Sentry (app errors) · Pydantic (schema enforcement)</w:t>
            </w:r>
          </w:p>
        </w:tc>
      </w:tr>
    </w:tbl>
    <w:p>
      <w:pPr>
        <w:spacing w:after="200" w:before="80"/>
      </w:pPr>
      <w:r>
        <w:rPr>
          <w:i/>
          <w:iCs/>
          <w:color w:val="595959"/>
          <w:sz w:val="20"/>
          <w:szCs w:val="20"/>
        </w:rPr>
        <w:t xml:space="preserve">Figure 1: Layered technology stack. Adjacent layers communicate through well-defined interfaces; the model gateway, data middleware, and observability layers are cross-cutting.</w:t>
      </w:r>
    </w:p>
    <w:p>
      <w:pPr>
        <w:pStyle w:val="Heading1"/>
        <w:spacing w:after="160" w:before="320"/>
      </w:pPr>
      <w:r>
        <w:t xml:space="preserve">3. Component Responsibilities</w:t>
      </w:r>
    </w:p>
    <w:p>
      <w:pPr>
        <w:spacing w:after="120"/>
      </w:pPr>
      <w:r>
        <w:t xml:space="preserve">Each component owns a bounded responsibility. The table below is the authoritative reference for what each part of the system does and the primary technology behind it.</w:t>
      </w:r>
    </w:p>
    <w:p>
      <w:pPr>
        <w:spacing w:after="100"/>
      </w:pP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44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Next.js 16, shadcn/ui, Tailwind, Vercel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 dashboards, trend feed, research insights, and account UI; consume the live SSE stream.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 &amp; Billing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Clerk, Stripe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Authenticate users, enforce RBAC across subscriber and admin portals, manage plans, invoicing, and entitlements.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/ Edge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FastAPI, SSE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Expose REST endpoints, stream live updates via SSE, enforce request rate limits and input validation.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 Gateway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LiteLLM (routing), summarization/classification models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 a single abstraction for LLM calls, route to providers, manage keys, retries, and fallback.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ADK 2.0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Coordinate agents as nodes in task graphs with routing, fan-out/fan-in, loops, retries, and human-in-the-loop.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Middleware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FastMCP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Expose data and tools to agents as controlled context servers, isolating systems of record from LLMs.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Celery, Redis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scheduled arXiv batch jobs, listen to RSS feeds, and execute enrichment and ranking jobs.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Ingestion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Playwright / fetch + readability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Crawl approved sites, extract article/paper content, and respect robots.txt and source terms.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Transactional DB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Store users, subscriptions, sources, content metadata, categories, follows, and bookmarks.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Pinecone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Store embeddings for semantic search and recommendation similarity.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Index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 FTS or Typesense/Meilisearch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 keyword, faceted, and trending search over articles and papers.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S3 / GCS / R2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Hold raw crawled HTML, source PDFs, and cached snapshots outside the relational DB.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 &amp; Rate Limit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 dashboard reads, hold dedup state, and back API rate limiting.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Resend / Postmark / SES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 transactional email (verification, receipts, resets) and, later, digests and newsletters.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Langfuse, Sentry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Trace agent runs and LLM calls (Langfuse); capture application and frontend errors (Sentry).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Schema Enforcement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Pydantic</w:t>
            </w:r>
          </w:p>
        </w:tc>
        <w:tc>
          <w:tcPr>
            <w:tcW w:type="dxa" w:w="4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Validate agent inputs/outputs and API payloads against strict schemas.</w:t>
            </w:r>
          </w:p>
        </w:tc>
      </w:tr>
    </w:tbl>
    <w:p>
      <w:pPr>
        <w:pStyle w:val="Heading1"/>
        <w:spacing w:after="160" w:before="320"/>
      </w:pPr>
      <w:r>
        <w:t xml:space="preserve">4. The Four Content Agents</w:t>
      </w:r>
    </w:p>
    <w:p>
      <w:pPr>
        <w:spacing w:after="120"/>
      </w:pPr>
      <w:r>
        <w:t xml:space="preserve">The product-level agents are implemented as ADK nodes within the orchestration layer. They reach sources and storage only through the data middleware and model gateway.</w:t>
      </w:r>
    </w:p>
    <w:p>
      <w:pPr>
        <w:spacing w:after="100"/>
      </w:pP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74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7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Trend Agent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Real-time (RSS/crawl)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 news, consume RSS, crawl approved sites, filter/categorize/summarize, submit to staging.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Research Paper Agent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(scheduled)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 arXiv and similar, rank by attention signals, generate executive summaries, categorize by domain.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 Quality Agent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(on staging)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Deduplicate, fact-check where possible, enforce formatting and metadata before publishing.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 Agent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publish / on signal</w:t>
            </w:r>
          </w:p>
        </w:tc>
        <w:tc>
          <w:tcPr>
            <w:tcW w:type="dxa" w:w="4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Blend published content with user follows and engagement to generate personalized feeds.</w:t>
            </w:r>
          </w:p>
        </w:tc>
      </w:tr>
    </w:tbl>
    <w:p>
      <w:pPr>
        <w:pStyle w:val="Heading1"/>
        <w:spacing w:after="160" w:before="320"/>
      </w:pPr>
      <w:r>
        <w:t xml:space="preserve">5. Data Flow</w:t>
      </w:r>
    </w:p>
    <w:p>
      <w:pPr>
        <w:pStyle w:val="Heading2"/>
        <w:spacing w:after="120" w:before="220"/>
      </w:pPr>
      <w:r>
        <w:t xml:space="preserve">5.1 Real-Time Trend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RSS listeners and crawlers (Ingestion) pull new items; raw HTML is stored in object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AI Trend Agent, via the model gateway, filters, categorizes, and summarizes each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 items are written to a staging queue rather than published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Content Quality Agent gates staging: dedup (Redis state), fact-check, formatting.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Approved content is persisted (Postgres metadata, Pinecone embeddings, search index) and pushed to the dashboard over SSE.</w:t>
      </w:r>
    </w:p>
    <w:p>
      <w:pPr>
        <w:pStyle w:val="Heading2"/>
        <w:spacing w:after="120" w:before="220"/>
      </w:pPr>
      <w:r>
        <w:t xml:space="preserve">5.2 Batch Research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Celery beat schedule triggers arXiv and related source pulls.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Research Paper Agent ranks papers by downloads, citations, and social/community signals.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summaries and takeaways are generated and categorized by domain.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pass through the same quality gate, then persist and surface in the research section.</w:t>
      </w:r>
    </w:p>
    <w:p>
      <w:pPr>
        <w:pStyle w:val="Heading2"/>
        <w:spacing w:after="120" w:before="220"/>
      </w:pPr>
      <w:r>
        <w:t xml:space="preserve">5.3 Personalization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follows and engagement events are captured through the API and stored in Postgres.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Recommendation Agent combines published content with these signals and vector similarity from Pinecone.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Personalized feeds are cached in Redis and served to the dashboard; misses recompute on demand.</w:t>
      </w:r>
    </w:p>
    <w:p>
      <w:pPr>
        <w:pStyle w:val="Heading2"/>
        <w:spacing w:after="120" w:before="220"/>
      </w:pPr>
      <w:r>
        <w:t xml:space="preserve">5.4 Cross-Cutting 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agent run and LLM call is traced to Langfuse; application errors go to Sentry.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agent and API payloads are validated by Pydantic schemas at each boundary.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actions (source config, moderation, RBAC changes) are audited and take effect on the next ingestion cycle.</w:t>
      </w:r>
    </w:p>
    <w:p>
      <w:pPr>
        <w:pStyle w:val="Heading1"/>
        <w:spacing w:after="160" w:before="320"/>
      </w:pPr>
      <w:r>
        <w:t xml:space="preserve">6. Additions Beyond the Initial Stack</w:t>
      </w:r>
    </w:p>
    <w:p>
      <w:pPr>
        <w:spacing w:after="120"/>
      </w:pPr>
      <w:r>
        <w:t xml:space="preserve">The following components were not in the first-draft stack but are required for a production ingestion platform. They are called out so scope and cost are explicit.</w:t>
      </w:r>
    </w:p>
    <w:p>
      <w:pPr>
        <w:spacing w:after="100"/>
      </w:pP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4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6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Is Needed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/ ranking index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Trends and 'trending papers' need keyword, faceted, and relevance ranking that a vector store alone does not provide.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 gateway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ADK orchestrates agents but the summarization/classification models and provider routing must be specified and abstracted.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Raw HTML and source PDFs are large and cheap to keep out of Postgres.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Verification, receipts, and resets are required even before newsletters and digests.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Crawling infrastructure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JS-heavy sites need a real fetch/extract layer, plus robots.txt and terms-of-use compliance.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error tracking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Langfuse covers agent traces; Sentry covers FastAPI and frontend exceptions.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 / rate-limit layer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Protects Postgres and Pinecone from read bursts and enforces API limits.</w:t>
            </w:r>
          </w:p>
        </w:tc>
      </w:tr>
    </w:tbl>
    <w:p>
      <w:pPr>
        <w:pStyle w:val="Heading1"/>
        <w:spacing w:after="160" w:before="320"/>
      </w:pPr>
      <w:r>
        <w:t xml:space="preserve">7. Open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Clarify the boundary between ADK's native tool abstraction and FastMCP so the two agent-tooling layers do not overlap confusingly.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search engine: Postgres full-text to stay lean, or a dedicated engine (Typesense/Meilisearch/Elasticsearch) if search quality is a headline feature.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 ADK self-hosting over the managed path if vendor neutrality matters; budget for a smaller ecosystem than LangGraph.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model selection and cost controls in the gateway (per-agent model, token budgets, fallback).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CI/CD (e.g. GitHub Actions) and secrets management, neither of which is yet in the stack.</w:t>
      </w:r>
    </w:p>
    <w:p>
      <w:pPr>
        <w:pStyle w:val="Heading1"/>
        <w:spacing w:after="160" w:before="320"/>
      </w:pPr>
      <w:r>
        <w:t xml:space="preserve">8. Non-Functional Requirements</w:t>
      </w:r>
    </w:p>
    <w:p>
      <w:pPr>
        <w:spacing w:after="100"/>
      </w:pP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4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Encrypted transport and at-rest storage; RBAC via Clerk; secrets in a managed vault; audit logging of admin actions.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Ingestion, Celery workers, and API scale horizontally; vector and search indexes sized for growing corpora.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 path (dashboard) stays available even if agent processing degrades; queues absorb ingestion spikes.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Cached dashboard reads; batch jobs isolated from the real-time publish path via separate queues.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Respect robots.txt and source terms; retain and display source attribution and links.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End-to-end tracing (Langfuse), error tracking (Sentry), and alerting on ingestion or quality-gate backlogs.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Technical Specification — Executive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Executive Intelligence Platform — Technical Specification</dc:title>
  <dc:creator>Engineering</dc:creator>
  <cp:lastModifiedBy>Un-named</cp:lastModifiedBy>
  <cp:revision>1</cp:revision>
  <dcterms:created xsi:type="dcterms:W3CDTF">2026-07-25T19:35:33.529Z</dcterms:created>
  <dcterms:modified xsi:type="dcterms:W3CDTF">2026-07-25T19:35:33.549Z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