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E74B5"/>
          <w:spacing w:val="30"/>
          <w:sz w:val="20"/>
          <w:szCs w:val="20"/>
        </w:rPr>
        <w:t xml:space="preserve">BUSINESS ANALYTICS REPORT</w:t>
      </w:r>
    </w:p>
    <w:p>
      <w:pPr>
        <w:spacing w:after="200"/>
      </w:pPr>
      <w:r>
        <w:rPr>
          <w:b/>
          <w:bCs/>
          <w:color w:val="1F3864"/>
          <w:sz w:val="44"/>
          <w:szCs w:val="44"/>
        </w:rPr>
        <w:t xml:space="preserve">E-Commerce Order Analytics System</w:t>
      </w:r>
    </w:p>
    <w:p>
      <w:pPr>
        <w:spacing w:after="60"/>
      </w:pPr>
      <w:r>
        <w:rPr>
          <w:i/>
          <w:iCs/>
          <w:color w:val="595959"/>
          <w:sz w:val="24"/>
          <w:szCs w:val="24"/>
        </w:rPr>
        <w:t xml:space="preserve">Revenue, Customer, and Product Performance Analysis</w:t>
      </w:r>
    </w:p>
    <w:p>
      <w:pPr>
        <w:spacing w:after="300"/>
      </w:pPr>
      <w:r>
        <w:rPr>
          <w:color w:val="595959"/>
          <w:sz w:val="18"/>
          <w:szCs w:val="18"/>
        </w:rPr>
        <w:t xml:space="preserve">Prepared using a Python + SQLite analytics pipeline (pandas, SQLite window functions, CTEs) built on a synthetically generated order dataset  |  July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EAF1FA" w:val="clear"/>
            <w:tcMar>
              <w:top w:type="dxa" w:w="160"/>
              <w:left w:type="dxa" w:w="120"/>
              <w:bottom w:type="dxa" w:w="160"/>
              <w:right w:type="dxa" w:w="120"/>
            </w:tcMar>
          </w:tcPr>
          <w:p>
            <w:pPr>
              <w:jc w:val="center"/>
            </w:pPr>
            <w:r>
              <w:rPr>
                <w:b/>
                <w:bCs/>
                <w:color w:val="1F3864"/>
                <w:sz w:val="30"/>
                <w:szCs w:val="30"/>
              </w:rPr>
              <w:t xml:space="preserve">₹17.75L</w:t>
            </w:r>
          </w:p>
          <w:p>
            <w:pPr>
              <w:spacing w:before="40"/>
              <w:jc w:val="center"/>
            </w:pPr>
            <w:r>
              <w:rPr>
                <w:caps/>
                <w:color w:val="595959"/>
                <w:sz w:val="17"/>
                <w:szCs w:val="17"/>
              </w:rPr>
              <w:t xml:space="preserve">Total Revenue</w:t>
            </w:r>
          </w:p>
        </w:tc>
        <w:tc>
          <w:tcPr>
            <w:tcW w:type="dxa" w:w="2337"/>
            <w:shd w:fill="EAF1FA" w:val="clear"/>
            <w:tcMar>
              <w:top w:type="dxa" w:w="160"/>
              <w:left w:type="dxa" w:w="120"/>
              <w:bottom w:type="dxa" w:w="160"/>
              <w:right w:type="dxa" w:w="120"/>
            </w:tcMar>
          </w:tcPr>
          <w:p>
            <w:pPr>
              <w:jc w:val="center"/>
            </w:pPr>
            <w:r>
              <w:rPr>
                <w:b/>
                <w:bCs/>
                <w:color w:val="1F3864"/>
                <w:sz w:val="30"/>
                <w:szCs w:val="30"/>
              </w:rPr>
              <w:t xml:space="preserve">500</w:t>
            </w:r>
          </w:p>
          <w:p>
            <w:pPr>
              <w:spacing w:before="40"/>
              <w:jc w:val="center"/>
            </w:pPr>
            <w:r>
              <w:rPr>
                <w:caps/>
                <w:color w:val="595959"/>
                <w:sz w:val="17"/>
                <w:szCs w:val="17"/>
              </w:rPr>
              <w:t xml:space="preserve">Orders Analyzed</w:t>
            </w:r>
          </w:p>
        </w:tc>
        <w:tc>
          <w:tcPr>
            <w:tcW w:type="dxa" w:w="2337"/>
            <w:shd w:fill="EAF1FA" w:val="clear"/>
            <w:tcMar>
              <w:top w:type="dxa" w:w="160"/>
              <w:left w:type="dxa" w:w="120"/>
              <w:bottom w:type="dxa" w:w="160"/>
              <w:right w:type="dxa" w:w="120"/>
            </w:tcMar>
          </w:tcPr>
          <w:p>
            <w:pPr>
              <w:jc w:val="center"/>
            </w:pPr>
            <w:r>
              <w:rPr>
                <w:b/>
                <w:bCs/>
                <w:color w:val="1F3864"/>
                <w:sz w:val="30"/>
                <w:szCs w:val="30"/>
              </w:rPr>
              <w:t xml:space="preserve">500</w:t>
            </w:r>
          </w:p>
          <w:p>
            <w:pPr>
              <w:spacing w:before="40"/>
              <w:jc w:val="center"/>
            </w:pPr>
            <w:r>
              <w:rPr>
                <w:caps/>
                <w:color w:val="595959"/>
                <w:sz w:val="17"/>
                <w:szCs w:val="17"/>
              </w:rPr>
              <w:t xml:space="preserve">Customers</w:t>
            </w:r>
          </w:p>
        </w:tc>
        <w:tc>
          <w:tcPr>
            <w:tcW w:type="dxa" w:w="2337"/>
            <w:shd w:fill="EAF1FA" w:val="clear"/>
            <w:tcMar>
              <w:top w:type="dxa" w:w="160"/>
              <w:left w:type="dxa" w:w="120"/>
              <w:bottom w:type="dxa" w:w="160"/>
              <w:right w:type="dxa" w:w="120"/>
            </w:tcMar>
          </w:tcPr>
          <w:p>
            <w:pPr>
              <w:jc w:val="center"/>
            </w:pPr>
            <w:r>
              <w:rPr>
                <w:b/>
                <w:bCs/>
                <w:color w:val="1F3864"/>
                <w:sz w:val="30"/>
                <w:szCs w:val="30"/>
              </w:rPr>
              <w:t xml:space="preserve">4</w:t>
            </w:r>
          </w:p>
          <w:p>
            <w:pPr>
              <w:spacing w:before="40"/>
              <w:jc w:val="center"/>
            </w:pPr>
            <w:r>
              <w:rPr>
                <w:caps/>
                <w:color w:val="595959"/>
                <w:sz w:val="17"/>
                <w:szCs w:val="17"/>
              </w:rPr>
              <w:t xml:space="preserve">Product Categories</w:t>
            </w:r>
          </w:p>
        </w:tc>
      </w:tr>
    </w:tbl>
    <w:p>
      <w:pPr>
        <w:spacing w:after="200"/>
      </w:pPr>
    </w:p>
    <w:p>
      <w:pPr>
        <w:pStyle w:val="Heading1"/>
        <w:pBdr>
          <w:bottom w:val="single" w:color="2E74B5" w:sz="8" w:space="4"/>
        </w:pBdr>
        <w:spacing w:after="160" w:before="360"/>
      </w:pPr>
      <w:r>
        <w:rPr>
          <w:b/>
          <w:bCs/>
          <w:color w:val="1F3864"/>
          <w:sz w:val="28"/>
          <w:szCs w:val="28"/>
        </w:rPr>
        <w:t xml:space="preserve">1. Executive Summary</w:t>
      </w:r>
    </w:p>
    <w:p>
      <w:pPr>
        <w:spacing w:after="160" w:line="300"/>
      </w:pPr>
      <w:r>
        <w:rPr>
          <w:color w:val="222222"/>
          <w:sz w:val="22"/>
          <w:szCs w:val="22"/>
        </w:rPr>
        <w:t xml:space="preserve">This report summarizes findings from an end-to-end e-commerce order analytics system built to demonstrate data engineering and SQL analysis capability across a simulated retail dataset of 500 customers, 500 products, 500 orders, and 500 order line items. The pipeline covers data generation, data-quality auditing, cleaning, and 16 SQL analyses (aggregations, window functions, multi-level CTEs, cohort analysis, and self-joins) executed against a SQLite database, followed by an edge-case validation suite.</w:t>
      </w:r>
    </w:p>
    <w:p>
      <w:pPr>
        <w:spacing w:after="160" w:line="300"/>
      </w:pPr>
      <w:r>
        <w:rPr>
          <w:color w:val="222222"/>
          <w:sz w:val="22"/>
          <w:szCs w:val="22"/>
        </w:rPr>
        <w:t xml:space="preserve">Across the dataset, total realized revenue (net of discounts and returns) is ₹17,75,111. Clothing and Books are the leading categories by revenue, together contributing 58% of total sales. A small group of high-value customers accounts for a disproportionate share of revenue — the top 10 customers alone contributed roughly ₹2.9 lakh, and revenue concentration analysis shows the top quartile of customers driving the large majority of cumulative revenue. Returns are concentrated in the Home category (5.7% return rate), and 12 products show more returned units than purchased units, an early-warning signal that merits inventory or quality-control review.</w:t>
      </w:r>
    </w:p>
    <w:p>
      <w:pPr>
        <w:spacing w:after="160" w:line="300"/>
      </w:pPr>
      <w:r>
        <w:rPr>
          <w:i/>
          <w:iCs/>
          <w:color w:val="595959"/>
          <w:sz w:val="22"/>
          <w:szCs w:val="22"/>
        </w:rPr>
        <w:t xml:space="preserve">Because the underlying data was synthetically generated (with intentional data-quality defects seeded in for testing purposes), the figures in this report should be read as a demonstration of the analytics methodology rather than as real business performance. The same queries and logic apply directly to a production order dataset.</w:t>
      </w:r>
    </w:p>
    <w:p>
      <w:pPr>
        <w:pStyle w:val="Heading1"/>
        <w:pBdr>
          <w:bottom w:val="single" w:color="2E74B5" w:sz="8" w:space="4"/>
        </w:pBdr>
        <w:spacing w:after="160" w:before="360"/>
      </w:pPr>
      <w:r>
        <w:rPr>
          <w:b/>
          <w:bCs/>
          <w:color w:val="1F3864"/>
          <w:sz w:val="28"/>
          <w:szCs w:val="28"/>
        </w:rPr>
        <w:t xml:space="preserve">2. Data Overview &amp; Quality Audit</w:t>
      </w:r>
    </w:p>
    <w:p>
      <w:pPr>
        <w:pStyle w:val="Heading2"/>
        <w:spacing w:after="120" w:before="260"/>
      </w:pPr>
      <w:r>
        <w:rPr>
          <w:b/>
          <w:bCs/>
          <w:color w:val="2E74B5"/>
          <w:sz w:val="24"/>
          <w:szCs w:val="24"/>
        </w:rPr>
        <w:t xml:space="preserve">2.1 Dataset Scope</w:t>
      </w:r>
    </w:p>
    <w:p>
      <w:pPr>
        <w:spacing w:after="160" w:line="300"/>
      </w:pPr>
      <w:r>
        <w:rPr>
          <w:color w:val="222222"/>
          <w:sz w:val="22"/>
          <w:szCs w:val="22"/>
        </w:rPr>
        <w:t xml:space="preserve">The analysis draws on four relational tables loaded into SQLite: customers, products, orders, and order_items. Each table contains 500 records, generated with a fixed random seed (42) for reproducibility using the Faker library.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50"/>
      </w:tblGrid>
      <w:tr>
        <w:trPr>
          <w:tblHeader/>
        </w:trPr>
        <w:tc>
          <w:tcPr>
            <w:tcW w:type="dxa" w:w="2000"/>
            <w:shd w:fill="1F3864" w:val="clear"/>
            <w:tcMar>
              <w:top w:type="dxa" w:w="80"/>
              <w:left w:type="dxa" w:w="120"/>
              <w:bottom w:type="dxa" w:w="80"/>
              <w:right w:type="dxa" w:w="120"/>
            </w:tcMar>
          </w:tcPr>
          <w:p>
            <w:pPr>
              <w:jc w:val="left"/>
            </w:pPr>
            <w:r>
              <w:rPr>
                <w:b/>
                <w:bCs/>
                <w:color w:val="FFFFFF"/>
                <w:sz w:val="20"/>
                <w:szCs w:val="20"/>
              </w:rPr>
              <w:t xml:space="preserve">Table</w:t>
            </w:r>
          </w:p>
        </w:tc>
        <w:tc>
          <w:tcPr>
            <w:tcW w:type="dxa" w:w="1500"/>
            <w:shd w:fill="1F3864" w:val="clear"/>
            <w:tcMar>
              <w:top w:type="dxa" w:w="80"/>
              <w:left w:type="dxa" w:w="120"/>
              <w:bottom w:type="dxa" w:w="80"/>
              <w:right w:type="dxa" w:w="120"/>
            </w:tcMar>
          </w:tcPr>
          <w:p>
            <w:pPr>
              <w:jc w:val="left"/>
            </w:pPr>
            <w:r>
              <w:rPr>
                <w:b/>
                <w:bCs/>
                <w:color w:val="FFFFFF"/>
                <w:sz w:val="20"/>
                <w:szCs w:val="20"/>
              </w:rPr>
              <w:t xml:space="preserve">Records</w:t>
            </w:r>
          </w:p>
        </w:tc>
        <w:tc>
          <w:tcPr>
            <w:tcW w:type="dxa" w:w="5850"/>
            <w:shd w:fill="1F3864" w:val="clear"/>
            <w:tcMar>
              <w:top w:type="dxa" w:w="80"/>
              <w:left w:type="dxa" w:w="120"/>
              <w:bottom w:type="dxa" w:w="80"/>
              <w:right w:type="dxa" w:w="120"/>
            </w:tcMar>
          </w:tcPr>
          <w:p>
            <w:pPr>
              <w:jc w:val="left"/>
            </w:pPr>
            <w:r>
              <w:rPr>
                <w:b/>
                <w:bCs/>
                <w:color w:val="FFFFFF"/>
                <w:sz w:val="20"/>
                <w:szCs w:val="20"/>
              </w:rPr>
              <w:t xml:space="preserve">Key Fields</w:t>
            </w:r>
          </w:p>
        </w:tc>
      </w:tr>
      <w:tr>
        <w:tc>
          <w:tcPr>
            <w:tcW w:type="dxa" w:w="2000"/>
            <w:shd w:fill="FFFFFF" w:val="clear"/>
            <w:tcMar>
              <w:top w:type="dxa" w:w="80"/>
              <w:left w:type="dxa" w:w="120"/>
              <w:bottom w:type="dxa" w:w="80"/>
              <w:right w:type="dxa" w:w="120"/>
            </w:tcMar>
          </w:tcPr>
          <w:p>
            <w:pPr>
              <w:jc w:val="left"/>
            </w:pPr>
            <w:r>
              <w:rPr>
                <w:b w:val="false"/>
                <w:bCs w:val="false"/>
                <w:color w:val="1a1a1a"/>
                <w:sz w:val="20"/>
                <w:szCs w:val="20"/>
              </w:rPr>
              <w:t xml:space="preserve">customers</w:t>
            </w:r>
          </w:p>
        </w:tc>
        <w:tc>
          <w:tcPr>
            <w:tcW w:type="dxa" w:w="1500"/>
            <w:shd w:fill="FFFFFF" w:val="clear"/>
            <w:tcMar>
              <w:top w:type="dxa" w:w="80"/>
              <w:left w:type="dxa" w:w="120"/>
              <w:bottom w:type="dxa" w:w="80"/>
              <w:right w:type="dxa" w:w="120"/>
            </w:tcMar>
          </w:tcPr>
          <w:p>
            <w:pPr>
              <w:jc w:val="right"/>
            </w:pPr>
            <w:r>
              <w:rPr>
                <w:b w:val="false"/>
                <w:bCs w:val="false"/>
                <w:color w:val="1a1a1a"/>
                <w:sz w:val="20"/>
                <w:szCs w:val="20"/>
              </w:rPr>
              <w:t xml:space="preserve">500</w:t>
            </w:r>
          </w:p>
        </w:tc>
        <w:tc>
          <w:tcPr>
            <w:tcW w:type="dxa" w:w="5850"/>
            <w:shd w:fill="FFFFFF" w:val="clear"/>
            <w:tcMar>
              <w:top w:type="dxa" w:w="80"/>
              <w:left w:type="dxa" w:w="120"/>
              <w:bottom w:type="dxa" w:w="80"/>
              <w:right w:type="dxa" w:w="120"/>
            </w:tcMar>
          </w:tcPr>
          <w:p>
            <w:pPr>
              <w:jc w:val="left"/>
            </w:pPr>
            <w:r>
              <w:rPr>
                <w:b w:val="false"/>
                <w:bCs w:val="false"/>
                <w:color w:val="1a1a1a"/>
                <w:sz w:val="20"/>
                <w:szCs w:val="20"/>
              </w:rPr>
              <w:t xml:space="preserve">customer_id, customer_type (Regular/Premium/VIP), registration_date, email</w:t>
            </w:r>
          </w:p>
        </w:tc>
      </w:tr>
      <w:tr>
        <w:tc>
          <w:tcPr>
            <w:tcW w:type="dxa" w:w="2000"/>
            <w:shd w:fill="FFFFFF" w:val="clear"/>
            <w:tcMar>
              <w:top w:type="dxa" w:w="80"/>
              <w:left w:type="dxa" w:w="120"/>
              <w:bottom w:type="dxa" w:w="80"/>
              <w:right w:type="dxa" w:w="120"/>
            </w:tcMar>
          </w:tcPr>
          <w:p>
            <w:pPr>
              <w:jc w:val="left"/>
            </w:pPr>
            <w:r>
              <w:rPr>
                <w:b w:val="false"/>
                <w:bCs w:val="false"/>
                <w:color w:val="1a1a1a"/>
                <w:sz w:val="20"/>
                <w:szCs w:val="20"/>
              </w:rPr>
              <w:t xml:space="preserve">products</w:t>
            </w:r>
          </w:p>
        </w:tc>
        <w:tc>
          <w:tcPr>
            <w:tcW w:type="dxa" w:w="1500"/>
            <w:shd w:fill="FFFFFF" w:val="clear"/>
            <w:tcMar>
              <w:top w:type="dxa" w:w="80"/>
              <w:left w:type="dxa" w:w="120"/>
              <w:bottom w:type="dxa" w:w="80"/>
              <w:right w:type="dxa" w:w="120"/>
            </w:tcMar>
          </w:tcPr>
          <w:p>
            <w:pPr>
              <w:jc w:val="right"/>
            </w:pPr>
            <w:r>
              <w:rPr>
                <w:b w:val="false"/>
                <w:bCs w:val="false"/>
                <w:color w:val="1a1a1a"/>
                <w:sz w:val="20"/>
                <w:szCs w:val="20"/>
              </w:rPr>
              <w:t xml:space="preserve">500</w:t>
            </w:r>
          </w:p>
        </w:tc>
        <w:tc>
          <w:tcPr>
            <w:tcW w:type="dxa" w:w="5850"/>
            <w:shd w:fill="FFFFFF" w:val="clear"/>
            <w:tcMar>
              <w:top w:type="dxa" w:w="80"/>
              <w:left w:type="dxa" w:w="120"/>
              <w:bottom w:type="dxa" w:w="80"/>
              <w:right w:type="dxa" w:w="120"/>
            </w:tcMar>
          </w:tcPr>
          <w:p>
            <w:pPr>
              <w:jc w:val="left"/>
            </w:pPr>
            <w:r>
              <w:rPr>
                <w:b w:val="false"/>
                <w:bCs w:val="false"/>
                <w:color w:val="1a1a1a"/>
                <w:sz w:val="20"/>
                <w:szCs w:val="20"/>
              </w:rPr>
              <w:t xml:space="preserve">product_id, category, subcategory, cost_price</w:t>
            </w:r>
          </w:p>
        </w:tc>
      </w:tr>
      <w:tr>
        <w:tc>
          <w:tcPr>
            <w:tcW w:type="dxa" w:w="2000"/>
            <w:shd w:fill="FFFFFF" w:val="clear"/>
            <w:tcMar>
              <w:top w:type="dxa" w:w="80"/>
              <w:left w:type="dxa" w:w="120"/>
              <w:bottom w:type="dxa" w:w="80"/>
              <w:right w:type="dxa" w:w="120"/>
            </w:tcMar>
          </w:tcPr>
          <w:p>
            <w:pPr>
              <w:jc w:val="left"/>
            </w:pPr>
            <w:r>
              <w:rPr>
                <w:b w:val="false"/>
                <w:bCs w:val="false"/>
                <w:color w:val="1a1a1a"/>
                <w:sz w:val="20"/>
                <w:szCs w:val="20"/>
              </w:rPr>
              <w:t xml:space="preserve">orders</w:t>
            </w:r>
          </w:p>
        </w:tc>
        <w:tc>
          <w:tcPr>
            <w:tcW w:type="dxa" w:w="1500"/>
            <w:shd w:fill="FFFFFF" w:val="clear"/>
            <w:tcMar>
              <w:top w:type="dxa" w:w="80"/>
              <w:left w:type="dxa" w:w="120"/>
              <w:bottom w:type="dxa" w:w="80"/>
              <w:right w:type="dxa" w:w="120"/>
            </w:tcMar>
          </w:tcPr>
          <w:p>
            <w:pPr>
              <w:jc w:val="right"/>
            </w:pPr>
            <w:r>
              <w:rPr>
                <w:b w:val="false"/>
                <w:bCs w:val="false"/>
                <w:color w:val="1a1a1a"/>
                <w:sz w:val="20"/>
                <w:szCs w:val="20"/>
              </w:rPr>
              <w:t xml:space="preserve">500</w:t>
            </w:r>
          </w:p>
        </w:tc>
        <w:tc>
          <w:tcPr>
            <w:tcW w:type="dxa" w:w="5850"/>
            <w:shd w:fill="FFFFFF" w:val="clear"/>
            <w:tcMar>
              <w:top w:type="dxa" w:w="80"/>
              <w:left w:type="dxa" w:w="120"/>
              <w:bottom w:type="dxa" w:w="80"/>
              <w:right w:type="dxa" w:w="120"/>
            </w:tcMar>
          </w:tcPr>
          <w:p>
            <w:pPr>
              <w:jc w:val="left"/>
            </w:pPr>
            <w:r>
              <w:rPr>
                <w:b w:val="false"/>
                <w:bCs w:val="false"/>
                <w:color w:val="1a1a1a"/>
                <w:sz w:val="20"/>
                <w:szCs w:val="20"/>
              </w:rPr>
              <w:t xml:space="preserve">order_id, customer_id, order_date, status, region_code</w:t>
            </w:r>
          </w:p>
        </w:tc>
      </w:tr>
      <w:tr>
        <w:tc>
          <w:tcPr>
            <w:tcW w:type="dxa" w:w="2000"/>
            <w:shd w:fill="FFFFFF" w:val="clear"/>
            <w:tcMar>
              <w:top w:type="dxa" w:w="80"/>
              <w:left w:type="dxa" w:w="120"/>
              <w:bottom w:type="dxa" w:w="80"/>
              <w:right w:type="dxa" w:w="120"/>
            </w:tcMar>
          </w:tcPr>
          <w:p>
            <w:pPr>
              <w:jc w:val="left"/>
            </w:pPr>
            <w:r>
              <w:rPr>
                <w:b w:val="false"/>
                <w:bCs w:val="false"/>
                <w:color w:val="1a1a1a"/>
                <w:sz w:val="20"/>
                <w:szCs w:val="20"/>
              </w:rPr>
              <w:t xml:space="preserve">order_items</w:t>
            </w:r>
          </w:p>
        </w:tc>
        <w:tc>
          <w:tcPr>
            <w:tcW w:type="dxa" w:w="1500"/>
            <w:shd w:fill="FFFFFF" w:val="clear"/>
            <w:tcMar>
              <w:top w:type="dxa" w:w="80"/>
              <w:left w:type="dxa" w:w="120"/>
              <w:bottom w:type="dxa" w:w="80"/>
              <w:right w:type="dxa" w:w="120"/>
            </w:tcMar>
          </w:tcPr>
          <w:p>
            <w:pPr>
              <w:jc w:val="right"/>
            </w:pPr>
            <w:r>
              <w:rPr>
                <w:b w:val="false"/>
                <w:bCs w:val="false"/>
                <w:color w:val="1a1a1a"/>
                <w:sz w:val="20"/>
                <w:szCs w:val="20"/>
              </w:rPr>
              <w:t xml:space="preserve">500</w:t>
            </w:r>
          </w:p>
        </w:tc>
        <w:tc>
          <w:tcPr>
            <w:tcW w:type="dxa" w:w="5850"/>
            <w:shd w:fill="FFFFFF" w:val="clear"/>
            <w:tcMar>
              <w:top w:type="dxa" w:w="80"/>
              <w:left w:type="dxa" w:w="120"/>
              <w:bottom w:type="dxa" w:w="80"/>
              <w:right w:type="dxa" w:w="120"/>
            </w:tcMar>
          </w:tcPr>
          <w:p>
            <w:pPr>
              <w:jc w:val="left"/>
            </w:pPr>
            <w:r>
              <w:rPr>
                <w:b w:val="false"/>
                <w:bCs w:val="false"/>
                <w:color w:val="1a1a1a"/>
                <w:sz w:val="20"/>
                <w:szCs w:val="20"/>
              </w:rPr>
              <w:t xml:space="preserve">item_id, order_id, product_id, quantity, unit_price, discount_percent</w:t>
            </w:r>
          </w:p>
        </w:tc>
      </w:tr>
    </w:tbl>
    <w:p>
      <w:pPr>
        <w:spacing w:after="200"/>
      </w:pPr>
    </w:p>
    <w:p>
      <w:pPr>
        <w:pStyle w:val="Heading2"/>
        <w:spacing w:after="120" w:before="260"/>
      </w:pPr>
      <w:r>
        <w:rPr>
          <w:b/>
          <w:bCs/>
          <w:color w:val="2E74B5"/>
          <w:sz w:val="24"/>
          <w:szCs w:val="24"/>
        </w:rPr>
        <w:t xml:space="preserve">2.2 Data Quality Findings</w:t>
      </w:r>
    </w:p>
    <w:p>
      <w:pPr>
        <w:spacing w:after="160" w:line="300"/>
      </w:pPr>
      <w:r>
        <w:rPr>
          <w:color w:val="222222"/>
          <w:sz w:val="22"/>
          <w:szCs w:val="22"/>
        </w:rPr>
        <w:t xml:space="preserve">A data-quality audit was run prior to analysis to identify realism issues deliberately introduced into the raw data (to test the robustness of the cleaning pipeline). All issues below were identified and resolved before the SQL analysis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50"/>
      </w:tblGrid>
      <w:tr>
        <w:trPr>
          <w:tblHeader/>
        </w:trPr>
        <w:tc>
          <w:tcPr>
            <w:tcW w:type="dxa" w:w="4000"/>
            <w:shd w:fill="1F3864" w:val="clear"/>
            <w:tcMar>
              <w:top w:type="dxa" w:w="80"/>
              <w:left w:type="dxa" w:w="120"/>
              <w:bottom w:type="dxa" w:w="80"/>
              <w:right w:type="dxa" w:w="120"/>
            </w:tcMar>
          </w:tcPr>
          <w:p>
            <w:pPr>
              <w:jc w:val="left"/>
            </w:pPr>
            <w:r>
              <w:rPr>
                <w:b/>
                <w:bCs/>
                <w:color w:val="FFFFFF"/>
                <w:sz w:val="20"/>
                <w:szCs w:val="20"/>
              </w:rPr>
              <w:t xml:space="preserve">Issue</w:t>
            </w:r>
          </w:p>
        </w:tc>
        <w:tc>
          <w:tcPr>
            <w:tcW w:type="dxa" w:w="2000"/>
            <w:shd w:fill="1F3864" w:val="clear"/>
            <w:tcMar>
              <w:top w:type="dxa" w:w="80"/>
              <w:left w:type="dxa" w:w="120"/>
              <w:bottom w:type="dxa" w:w="80"/>
              <w:right w:type="dxa" w:w="120"/>
            </w:tcMar>
          </w:tcPr>
          <w:p>
            <w:pPr>
              <w:jc w:val="left"/>
            </w:pPr>
            <w:r>
              <w:rPr>
                <w:b/>
                <w:bCs/>
                <w:color w:val="FFFFFF"/>
                <w:sz w:val="20"/>
                <w:szCs w:val="20"/>
              </w:rPr>
              <w:t xml:space="preserve">Records Affected</w:t>
            </w:r>
          </w:p>
        </w:tc>
        <w:tc>
          <w:tcPr>
            <w:tcW w:type="dxa" w:w="3350"/>
            <w:shd w:fill="1F3864" w:val="clear"/>
            <w:tcMar>
              <w:top w:type="dxa" w:w="80"/>
              <w:left w:type="dxa" w:w="120"/>
              <w:bottom w:type="dxa" w:w="80"/>
              <w:right w:type="dxa" w:w="120"/>
            </w:tcMar>
          </w:tcPr>
          <w:p>
            <w:pPr>
              <w:jc w:val="left"/>
            </w:pPr>
            <w:r>
              <w:rPr>
                <w:b/>
                <w:bCs/>
                <w:color w:val="FFFFFF"/>
                <w:sz w:val="20"/>
                <w:szCs w:val="20"/>
              </w:rPr>
              <w:t xml:space="preserve">Resolution Applied</w:t>
            </w:r>
          </w:p>
        </w:tc>
      </w:tr>
      <w:tr>
        <w:tc>
          <w:tcPr>
            <w:tcW w:type="dxa" w:w="4000"/>
            <w:shd w:fill="FFFFFF" w:val="clear"/>
            <w:tcMar>
              <w:top w:type="dxa" w:w="80"/>
              <w:left w:type="dxa" w:w="120"/>
              <w:bottom w:type="dxa" w:w="80"/>
              <w:right w:type="dxa" w:w="120"/>
            </w:tcMar>
          </w:tcPr>
          <w:p>
            <w:pPr>
              <w:jc w:val="left"/>
            </w:pPr>
            <w:r>
              <w:rPr>
                <w:b w:val="false"/>
                <w:bCs w:val="false"/>
                <w:color w:val="1a1a1a"/>
                <w:sz w:val="20"/>
                <w:szCs w:val="20"/>
              </w:rPr>
              <w:t xml:space="preserve">Invalid customer email formats</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6</w:t>
            </w:r>
          </w:p>
        </w:tc>
        <w:tc>
          <w:tcPr>
            <w:tcW w:type="dxa" w:w="3350"/>
            <w:shd w:fill="FFFFFF" w:val="clear"/>
            <w:tcMar>
              <w:top w:type="dxa" w:w="80"/>
              <w:left w:type="dxa" w:w="120"/>
              <w:bottom w:type="dxa" w:w="80"/>
              <w:right w:type="dxa" w:w="120"/>
            </w:tcMar>
          </w:tcPr>
          <w:p>
            <w:pPr>
              <w:jc w:val="left"/>
            </w:pPr>
            <w:r>
              <w:rPr>
                <w:b w:val="false"/>
                <w:bCs w:val="false"/>
                <w:color w:val="1a1a1a"/>
                <w:sz w:val="20"/>
                <w:szCs w:val="20"/>
              </w:rPr>
              <w:t xml:space="preserve">Flagged and excluded from clean customer table</w:t>
            </w:r>
          </w:p>
        </w:tc>
      </w:tr>
      <w:tr>
        <w:tc>
          <w:tcPr>
            <w:tcW w:type="dxa" w:w="4000"/>
            <w:shd w:fill="FFFFFF" w:val="clear"/>
            <w:tcMar>
              <w:top w:type="dxa" w:w="80"/>
              <w:left w:type="dxa" w:w="120"/>
              <w:bottom w:type="dxa" w:w="80"/>
              <w:right w:type="dxa" w:w="120"/>
            </w:tcMar>
          </w:tcPr>
          <w:p>
            <w:pPr>
              <w:jc w:val="left"/>
            </w:pPr>
            <w:r>
              <w:rPr>
                <w:b w:val="false"/>
                <w:bCs w:val="false"/>
                <w:color w:val="1a1a1a"/>
                <w:sz w:val="20"/>
                <w:szCs w:val="20"/>
              </w:rPr>
              <w:t xml:space="preserve">NULL customer IDs on orders</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22</w:t>
            </w:r>
          </w:p>
        </w:tc>
        <w:tc>
          <w:tcPr>
            <w:tcW w:type="dxa" w:w="3350"/>
            <w:shd w:fill="FFFFFF" w:val="clear"/>
            <w:tcMar>
              <w:top w:type="dxa" w:w="80"/>
              <w:left w:type="dxa" w:w="120"/>
              <w:bottom w:type="dxa" w:w="80"/>
              <w:right w:type="dxa" w:w="120"/>
            </w:tcMar>
          </w:tcPr>
          <w:p>
            <w:pPr>
              <w:jc w:val="left"/>
            </w:pPr>
            <w:r>
              <w:rPr>
                <w:b w:val="false"/>
                <w:bCs w:val="false"/>
                <w:color w:val="1a1a1a"/>
                <w:sz w:val="20"/>
                <w:szCs w:val="20"/>
              </w:rPr>
              <w:t xml:space="preserve">Recoded to 'UNKNOWN' and excluded from customer-level analysis</w:t>
            </w:r>
          </w:p>
        </w:tc>
      </w:tr>
      <w:tr>
        <w:tc>
          <w:tcPr>
            <w:tcW w:type="dxa" w:w="4000"/>
            <w:shd w:fill="FFFFFF" w:val="clear"/>
            <w:tcMar>
              <w:top w:type="dxa" w:w="80"/>
              <w:left w:type="dxa" w:w="120"/>
              <w:bottom w:type="dxa" w:w="80"/>
              <w:right w:type="dxa" w:w="120"/>
            </w:tcMar>
          </w:tcPr>
          <w:p>
            <w:pPr>
              <w:jc w:val="left"/>
            </w:pPr>
            <w:r>
              <w:rPr>
                <w:b w:val="false"/>
                <w:bCs w:val="false"/>
                <w:color w:val="1a1a1a"/>
                <w:sz w:val="20"/>
                <w:szCs w:val="20"/>
              </w:rPr>
              <w:t xml:space="preserve">Non-standard date formats (DD-MM-YYYY)</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25</w:t>
            </w:r>
          </w:p>
        </w:tc>
        <w:tc>
          <w:tcPr>
            <w:tcW w:type="dxa" w:w="3350"/>
            <w:shd w:fill="FFFFFF" w:val="clear"/>
            <w:tcMar>
              <w:top w:type="dxa" w:w="80"/>
              <w:left w:type="dxa" w:w="120"/>
              <w:bottom w:type="dxa" w:w="80"/>
              <w:right w:type="dxa" w:w="120"/>
            </w:tcMar>
          </w:tcPr>
          <w:p>
            <w:pPr>
              <w:jc w:val="left"/>
            </w:pPr>
            <w:r>
              <w:rPr>
                <w:b w:val="false"/>
                <w:bCs w:val="false"/>
                <w:color w:val="1a1a1a"/>
                <w:sz w:val="20"/>
                <w:szCs w:val="20"/>
              </w:rPr>
              <w:t xml:space="preserve">Parsed and standardized via mixed-format datetime coercion</w:t>
            </w:r>
          </w:p>
        </w:tc>
      </w:tr>
      <w:tr>
        <w:tc>
          <w:tcPr>
            <w:tcW w:type="dxa" w:w="4000"/>
            <w:shd w:fill="FFFFFF" w:val="clear"/>
            <w:tcMar>
              <w:top w:type="dxa" w:w="80"/>
              <w:left w:type="dxa" w:w="120"/>
              <w:bottom w:type="dxa" w:w="80"/>
              <w:right w:type="dxa" w:w="120"/>
            </w:tcMar>
          </w:tcPr>
          <w:p>
            <w:pPr>
              <w:jc w:val="left"/>
            </w:pPr>
            <w:r>
              <w:rPr>
                <w:b w:val="false"/>
                <w:bCs w:val="false"/>
                <w:color w:val="1a1a1a"/>
                <w:sz w:val="20"/>
                <w:szCs w:val="20"/>
              </w:rPr>
              <w:t xml:space="preserve">Inconsistent product name casing/whitespace</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27</w:t>
            </w:r>
          </w:p>
        </w:tc>
        <w:tc>
          <w:tcPr>
            <w:tcW w:type="dxa" w:w="3350"/>
            <w:shd w:fill="FFFFFF" w:val="clear"/>
            <w:tcMar>
              <w:top w:type="dxa" w:w="80"/>
              <w:left w:type="dxa" w:w="120"/>
              <w:bottom w:type="dxa" w:w="80"/>
              <w:right w:type="dxa" w:w="120"/>
            </w:tcMar>
          </w:tcPr>
          <w:p>
            <w:pPr>
              <w:jc w:val="left"/>
            </w:pPr>
            <w:r>
              <w:rPr>
                <w:b w:val="false"/>
                <w:bCs w:val="false"/>
                <w:color w:val="1a1a1a"/>
                <w:sz w:val="20"/>
                <w:szCs w:val="20"/>
              </w:rPr>
              <w:t xml:space="preserve">Trimmed and normalized to title case</w:t>
            </w:r>
          </w:p>
        </w:tc>
      </w:tr>
      <w:tr>
        <w:tc>
          <w:tcPr>
            <w:tcW w:type="dxa" w:w="4000"/>
            <w:shd w:fill="FFFFFF" w:val="clear"/>
            <w:tcMar>
              <w:top w:type="dxa" w:w="80"/>
              <w:left w:type="dxa" w:w="120"/>
              <w:bottom w:type="dxa" w:w="80"/>
              <w:right w:type="dxa" w:w="120"/>
            </w:tcMar>
          </w:tcPr>
          <w:p>
            <w:pPr>
              <w:jc w:val="left"/>
            </w:pPr>
            <w:r>
              <w:rPr>
                <w:b w:val="false"/>
                <w:bCs w:val="false"/>
                <w:color w:val="1a1a1a"/>
                <w:sz w:val="20"/>
                <w:szCs w:val="20"/>
              </w:rPr>
              <w:t xml:space="preserve">Negative order quantities (returns)</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23</w:t>
            </w:r>
          </w:p>
        </w:tc>
        <w:tc>
          <w:tcPr>
            <w:tcW w:type="dxa" w:w="3350"/>
            <w:shd w:fill="FFFFFF" w:val="clear"/>
            <w:tcMar>
              <w:top w:type="dxa" w:w="80"/>
              <w:left w:type="dxa" w:w="120"/>
              <w:bottom w:type="dxa" w:w="80"/>
              <w:right w:type="dxa" w:w="120"/>
            </w:tcMar>
          </w:tcPr>
          <w:p>
            <w:pPr>
              <w:jc w:val="left"/>
            </w:pPr>
            <w:r>
              <w:rPr>
                <w:b w:val="false"/>
                <w:bCs w:val="false"/>
                <w:color w:val="1a1a1a"/>
                <w:sz w:val="20"/>
                <w:szCs w:val="20"/>
              </w:rPr>
              <w:t xml:space="preserve">Retained and used to calculate return rate, not treated as errors</w:t>
            </w:r>
          </w:p>
        </w:tc>
      </w:tr>
      <w:tr>
        <w:tc>
          <w:tcPr>
            <w:tcW w:type="dxa" w:w="4000"/>
            <w:shd w:fill="FFFFFF" w:val="clear"/>
            <w:tcMar>
              <w:top w:type="dxa" w:w="80"/>
              <w:left w:type="dxa" w:w="120"/>
              <w:bottom w:type="dxa" w:w="80"/>
              <w:right w:type="dxa" w:w="120"/>
            </w:tcMar>
          </w:tcPr>
          <w:p>
            <w:pPr>
              <w:jc w:val="left"/>
            </w:pPr>
            <w:r>
              <w:rPr>
                <w:b w:val="false"/>
                <w:bCs w:val="false"/>
                <w:color w:val="1a1a1a"/>
                <w:sz w:val="20"/>
                <w:szCs w:val="20"/>
              </w:rPr>
              <w:t xml:space="preserve">Order items referencing non-existent orders</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1 (test case)</w:t>
            </w:r>
          </w:p>
        </w:tc>
        <w:tc>
          <w:tcPr>
            <w:tcW w:type="dxa" w:w="3350"/>
            <w:shd w:fill="FFFFFF" w:val="clear"/>
            <w:tcMar>
              <w:top w:type="dxa" w:w="80"/>
              <w:left w:type="dxa" w:w="120"/>
              <w:bottom w:type="dxa" w:w="80"/>
              <w:right w:type="dxa" w:w="120"/>
            </w:tcMar>
          </w:tcPr>
          <w:p>
            <w:pPr>
              <w:jc w:val="left"/>
            </w:pPr>
            <w:r>
              <w:rPr>
                <w:b w:val="false"/>
                <w:bCs w:val="false"/>
                <w:color w:val="1a1a1a"/>
                <w:sz w:val="20"/>
                <w:szCs w:val="20"/>
              </w:rPr>
              <w:t xml:space="preserve">Referential integrity check confirmed detection logic works</w:t>
            </w:r>
          </w:p>
        </w:tc>
      </w:tr>
    </w:tbl>
    <w:p>
      <w:pPr>
        <w:spacing w:after="120"/>
      </w:pPr>
    </w:p>
    <w:p>
      <w:pPr>
        <w:spacing w:after="160" w:line="300"/>
      </w:pPr>
      <w:r>
        <w:rPr>
          <w:color w:val="222222"/>
          <w:sz w:val="22"/>
          <w:szCs w:val="22"/>
        </w:rPr>
        <w:t xml:space="preserve">Note: negative quantities represent product returns embedded in the order_items table rather than genuine data errors, and were deliberately preserved so that return-rate analysis in Section 4 reflects true return behavior.</w:t>
      </w:r>
    </w:p>
    <w:p>
      <w:pPr>
        <w:pStyle w:val="Heading1"/>
        <w:pBdr>
          <w:bottom w:val="single" w:color="2E74B5" w:sz="8" w:space="4"/>
        </w:pBdr>
        <w:spacing w:after="160" w:before="360"/>
      </w:pPr>
      <w:r>
        <w:rPr>
          <w:b/>
          <w:bCs/>
          <w:color w:val="1F3864"/>
          <w:sz w:val="28"/>
          <w:szCs w:val="28"/>
        </w:rPr>
        <w:t xml:space="preserve">3. Revenue Performance</w:t>
      </w:r>
    </w:p>
    <w:p>
      <w:pPr>
        <w:pStyle w:val="Heading2"/>
        <w:spacing w:after="120" w:before="260"/>
      </w:pPr>
      <w:r>
        <w:rPr>
          <w:b/>
          <w:bCs/>
          <w:color w:val="2E74B5"/>
          <w:sz w:val="24"/>
          <w:szCs w:val="24"/>
        </w:rPr>
        <w:t xml:space="preserve">3.1 Revenue by Category</w:t>
      </w:r>
    </w:p>
    <w:p>
      <w:pPr>
        <w:spacing w:after="160" w:line="300"/>
      </w:pPr>
      <w:r>
        <w:rPr>
          <w:color w:val="222222"/>
          <w:sz w:val="22"/>
          <w:szCs w:val="22"/>
        </w:rPr>
        <w:t xml:space="preserve">Net revenue (quantity × unit price × (1 − discount%)) was calculated per category. Clothing leads at ₹5.30 lakh (29.9% of total), closely followed by Books at ₹5.03 lakh (28.4%). Electronics and Home trail at 21.7% and 20.1% respectively.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50"/>
      </w:tblGrid>
      <w:tr>
        <w:trPr>
          <w:tblHeader/>
        </w:trPr>
        <w:tc>
          <w:tcPr>
            <w:tcW w:type="dxa" w:w="3500"/>
            <w:shd w:fill="1F3864" w:val="clear"/>
            <w:tcMar>
              <w:top w:type="dxa" w:w="80"/>
              <w:left w:type="dxa" w:w="120"/>
              <w:bottom w:type="dxa" w:w="80"/>
              <w:right w:type="dxa" w:w="120"/>
            </w:tcMar>
          </w:tcPr>
          <w:p>
            <w:pPr>
              <w:jc w:val="left"/>
            </w:pPr>
            <w:r>
              <w:rPr>
                <w:b/>
                <w:bCs/>
                <w:color w:val="FFFFFF"/>
                <w:sz w:val="20"/>
                <w:szCs w:val="20"/>
              </w:rPr>
              <w:t xml:space="preserve">Category</w:t>
            </w:r>
          </w:p>
        </w:tc>
        <w:tc>
          <w:tcPr>
            <w:tcW w:type="dxa" w:w="3000"/>
            <w:shd w:fill="1F3864" w:val="clear"/>
            <w:tcMar>
              <w:top w:type="dxa" w:w="80"/>
              <w:left w:type="dxa" w:w="120"/>
              <w:bottom w:type="dxa" w:w="80"/>
              <w:right w:type="dxa" w:w="120"/>
            </w:tcMar>
          </w:tcPr>
          <w:p>
            <w:pPr>
              <w:jc w:val="left"/>
            </w:pPr>
            <w:r>
              <w:rPr>
                <w:b/>
                <w:bCs/>
                <w:color w:val="FFFFFF"/>
                <w:sz w:val="20"/>
                <w:szCs w:val="20"/>
              </w:rPr>
              <w:t xml:space="preserve">Total Revenue (₹)</w:t>
            </w:r>
          </w:p>
        </w:tc>
        <w:tc>
          <w:tcPr>
            <w:tcW w:type="dxa" w:w="2850"/>
            <w:shd w:fill="1F3864" w:val="clear"/>
            <w:tcMar>
              <w:top w:type="dxa" w:w="80"/>
              <w:left w:type="dxa" w:w="120"/>
              <w:bottom w:type="dxa" w:w="80"/>
              <w:right w:type="dxa" w:w="120"/>
            </w:tcMar>
          </w:tcPr>
          <w:p>
            <w:pPr>
              <w:jc w:val="left"/>
            </w:pPr>
            <w:r>
              <w:rPr>
                <w:b/>
                <w:bCs/>
                <w:color w:val="FFFFFF"/>
                <w:sz w:val="20"/>
                <w:szCs w:val="20"/>
              </w:rPr>
              <w:t xml:space="preserve">Share of Total</w:t>
            </w:r>
          </w:p>
        </w:tc>
      </w:tr>
      <w:tr>
        <w:tc>
          <w:tcPr>
            <w:tcW w:type="dxa" w:w="3500"/>
            <w:shd w:fill="FFFFFF" w:val="clear"/>
            <w:tcMar>
              <w:top w:type="dxa" w:w="80"/>
              <w:left w:type="dxa" w:w="120"/>
              <w:bottom w:type="dxa" w:w="80"/>
              <w:right w:type="dxa" w:w="120"/>
            </w:tcMar>
          </w:tcPr>
          <w:p>
            <w:pPr>
              <w:jc w:val="left"/>
            </w:pPr>
            <w:r>
              <w:rPr>
                <w:b w:val="false"/>
                <w:bCs w:val="false"/>
                <w:color w:val="1a1a1a"/>
                <w:sz w:val="20"/>
                <w:szCs w:val="20"/>
              </w:rPr>
              <w:t xml:space="preserve">Clothing</w:t>
            </w:r>
          </w:p>
        </w:tc>
        <w:tc>
          <w:tcPr>
            <w:tcW w:type="dxa" w:w="3000"/>
            <w:shd w:fill="FFFFFF" w:val="clear"/>
            <w:tcMar>
              <w:top w:type="dxa" w:w="80"/>
              <w:left w:type="dxa" w:w="120"/>
              <w:bottom w:type="dxa" w:w="80"/>
              <w:right w:type="dxa" w:w="120"/>
            </w:tcMar>
          </w:tcPr>
          <w:p>
            <w:pPr>
              <w:jc w:val="right"/>
            </w:pPr>
            <w:r>
              <w:rPr>
                <w:b w:val="false"/>
                <w:bCs w:val="false"/>
                <w:color w:val="1a1a1a"/>
                <w:sz w:val="20"/>
                <w:szCs w:val="20"/>
              </w:rPr>
              <w:t xml:space="preserve">5,30,195.24</w:t>
            </w:r>
          </w:p>
        </w:tc>
        <w:tc>
          <w:tcPr>
            <w:tcW w:type="dxa" w:w="2850"/>
            <w:shd w:fill="FFFFFF" w:val="clear"/>
            <w:tcMar>
              <w:top w:type="dxa" w:w="80"/>
              <w:left w:type="dxa" w:w="120"/>
              <w:bottom w:type="dxa" w:w="80"/>
              <w:right w:type="dxa" w:w="120"/>
            </w:tcMar>
          </w:tcPr>
          <w:p>
            <w:pPr>
              <w:jc w:val="right"/>
            </w:pPr>
            <w:r>
              <w:rPr>
                <w:b w:val="false"/>
                <w:bCs w:val="false"/>
                <w:color w:val="1a1a1a"/>
                <w:sz w:val="20"/>
                <w:szCs w:val="20"/>
              </w:rPr>
              <w:t xml:space="preserve">29.9%</w:t>
            </w:r>
          </w:p>
        </w:tc>
      </w:tr>
      <w:tr>
        <w:tc>
          <w:tcPr>
            <w:tcW w:type="dxa" w:w="3500"/>
            <w:shd w:fill="FFFFFF" w:val="clear"/>
            <w:tcMar>
              <w:top w:type="dxa" w:w="80"/>
              <w:left w:type="dxa" w:w="120"/>
              <w:bottom w:type="dxa" w:w="80"/>
              <w:right w:type="dxa" w:w="120"/>
            </w:tcMar>
          </w:tcPr>
          <w:p>
            <w:pPr>
              <w:jc w:val="left"/>
            </w:pPr>
            <w:r>
              <w:rPr>
                <w:b w:val="false"/>
                <w:bCs w:val="false"/>
                <w:color w:val="1a1a1a"/>
                <w:sz w:val="20"/>
                <w:szCs w:val="20"/>
              </w:rPr>
              <w:t xml:space="preserve">Books</w:t>
            </w:r>
          </w:p>
        </w:tc>
        <w:tc>
          <w:tcPr>
            <w:tcW w:type="dxa" w:w="3000"/>
            <w:shd w:fill="FFFFFF" w:val="clear"/>
            <w:tcMar>
              <w:top w:type="dxa" w:w="80"/>
              <w:left w:type="dxa" w:w="120"/>
              <w:bottom w:type="dxa" w:w="80"/>
              <w:right w:type="dxa" w:w="120"/>
            </w:tcMar>
          </w:tcPr>
          <w:p>
            <w:pPr>
              <w:jc w:val="right"/>
            </w:pPr>
            <w:r>
              <w:rPr>
                <w:b w:val="false"/>
                <w:bCs w:val="false"/>
                <w:color w:val="1a1a1a"/>
                <w:sz w:val="20"/>
                <w:szCs w:val="20"/>
              </w:rPr>
              <w:t xml:space="preserve">5,03,257.34</w:t>
            </w:r>
          </w:p>
        </w:tc>
        <w:tc>
          <w:tcPr>
            <w:tcW w:type="dxa" w:w="2850"/>
            <w:shd w:fill="FFFFFF" w:val="clear"/>
            <w:tcMar>
              <w:top w:type="dxa" w:w="80"/>
              <w:left w:type="dxa" w:w="120"/>
              <w:bottom w:type="dxa" w:w="80"/>
              <w:right w:type="dxa" w:w="120"/>
            </w:tcMar>
          </w:tcPr>
          <w:p>
            <w:pPr>
              <w:jc w:val="right"/>
            </w:pPr>
            <w:r>
              <w:rPr>
                <w:b w:val="false"/>
                <w:bCs w:val="false"/>
                <w:color w:val="1a1a1a"/>
                <w:sz w:val="20"/>
                <w:szCs w:val="20"/>
              </w:rPr>
              <w:t xml:space="preserve">28.4%</w:t>
            </w:r>
          </w:p>
        </w:tc>
      </w:tr>
      <w:tr>
        <w:tc>
          <w:tcPr>
            <w:tcW w:type="dxa" w:w="3500"/>
            <w:shd w:fill="FFFFFF" w:val="clear"/>
            <w:tcMar>
              <w:top w:type="dxa" w:w="80"/>
              <w:left w:type="dxa" w:w="120"/>
              <w:bottom w:type="dxa" w:w="80"/>
              <w:right w:type="dxa" w:w="120"/>
            </w:tcMar>
          </w:tcPr>
          <w:p>
            <w:pPr>
              <w:jc w:val="left"/>
            </w:pPr>
            <w:r>
              <w:rPr>
                <w:b w:val="false"/>
                <w:bCs w:val="false"/>
                <w:color w:val="1a1a1a"/>
                <w:sz w:val="20"/>
                <w:szCs w:val="20"/>
              </w:rPr>
              <w:t xml:space="preserve">Electronics</w:t>
            </w:r>
          </w:p>
        </w:tc>
        <w:tc>
          <w:tcPr>
            <w:tcW w:type="dxa" w:w="3000"/>
            <w:shd w:fill="FFFFFF" w:val="clear"/>
            <w:tcMar>
              <w:top w:type="dxa" w:w="80"/>
              <w:left w:type="dxa" w:w="120"/>
              <w:bottom w:type="dxa" w:w="80"/>
              <w:right w:type="dxa" w:w="120"/>
            </w:tcMar>
          </w:tcPr>
          <w:p>
            <w:pPr>
              <w:jc w:val="right"/>
            </w:pPr>
            <w:r>
              <w:rPr>
                <w:b w:val="false"/>
                <w:bCs w:val="false"/>
                <w:color w:val="1a1a1a"/>
                <w:sz w:val="20"/>
                <w:szCs w:val="20"/>
              </w:rPr>
              <w:t xml:space="preserve">3,84,507.93</w:t>
            </w:r>
          </w:p>
        </w:tc>
        <w:tc>
          <w:tcPr>
            <w:tcW w:type="dxa" w:w="2850"/>
            <w:shd w:fill="FFFFFF" w:val="clear"/>
            <w:tcMar>
              <w:top w:type="dxa" w:w="80"/>
              <w:left w:type="dxa" w:w="120"/>
              <w:bottom w:type="dxa" w:w="80"/>
              <w:right w:type="dxa" w:w="120"/>
            </w:tcMar>
          </w:tcPr>
          <w:p>
            <w:pPr>
              <w:jc w:val="right"/>
            </w:pPr>
            <w:r>
              <w:rPr>
                <w:b w:val="false"/>
                <w:bCs w:val="false"/>
                <w:color w:val="1a1a1a"/>
                <w:sz w:val="20"/>
                <w:szCs w:val="20"/>
              </w:rPr>
              <w:t xml:space="preserve">21.7%</w:t>
            </w:r>
          </w:p>
        </w:tc>
      </w:tr>
      <w:tr>
        <w:tc>
          <w:tcPr>
            <w:tcW w:type="dxa" w:w="3500"/>
            <w:shd w:fill="FFFFFF" w:val="clear"/>
            <w:tcMar>
              <w:top w:type="dxa" w:w="80"/>
              <w:left w:type="dxa" w:w="120"/>
              <w:bottom w:type="dxa" w:w="80"/>
              <w:right w:type="dxa" w:w="120"/>
            </w:tcMar>
          </w:tcPr>
          <w:p>
            <w:pPr>
              <w:jc w:val="left"/>
            </w:pPr>
            <w:r>
              <w:rPr>
                <w:b w:val="false"/>
                <w:bCs w:val="false"/>
                <w:color w:val="1a1a1a"/>
                <w:sz w:val="20"/>
                <w:szCs w:val="20"/>
              </w:rPr>
              <w:t xml:space="preserve">Home</w:t>
            </w:r>
          </w:p>
        </w:tc>
        <w:tc>
          <w:tcPr>
            <w:tcW w:type="dxa" w:w="3000"/>
            <w:shd w:fill="FFFFFF" w:val="clear"/>
            <w:tcMar>
              <w:top w:type="dxa" w:w="80"/>
              <w:left w:type="dxa" w:w="120"/>
              <w:bottom w:type="dxa" w:w="80"/>
              <w:right w:type="dxa" w:w="120"/>
            </w:tcMar>
          </w:tcPr>
          <w:p>
            <w:pPr>
              <w:jc w:val="right"/>
            </w:pPr>
            <w:r>
              <w:rPr>
                <w:b w:val="false"/>
                <w:bCs w:val="false"/>
                <w:color w:val="1a1a1a"/>
                <w:sz w:val="20"/>
                <w:szCs w:val="20"/>
              </w:rPr>
              <w:t xml:space="preserve">3,57,150.58</w:t>
            </w:r>
          </w:p>
        </w:tc>
        <w:tc>
          <w:tcPr>
            <w:tcW w:type="dxa" w:w="2850"/>
            <w:shd w:fill="FFFFFF" w:val="clear"/>
            <w:tcMar>
              <w:top w:type="dxa" w:w="80"/>
              <w:left w:type="dxa" w:w="120"/>
              <w:bottom w:type="dxa" w:w="80"/>
              <w:right w:type="dxa" w:w="120"/>
            </w:tcMar>
          </w:tcPr>
          <w:p>
            <w:pPr>
              <w:jc w:val="right"/>
            </w:pPr>
            <w:r>
              <w:rPr>
                <w:b w:val="false"/>
                <w:bCs w:val="false"/>
                <w:color w:val="1a1a1a"/>
                <w:sz w:val="20"/>
                <w:szCs w:val="20"/>
              </w:rPr>
              <w:t xml:space="preserve">20.1%</w:t>
            </w:r>
          </w:p>
        </w:tc>
      </w:tr>
    </w:tbl>
    <w:p>
      <w:pPr>
        <w:spacing w:after="200"/>
      </w:pPr>
    </w:p>
    <w:p>
      <w:pPr>
        <w:pStyle w:val="Heading2"/>
        <w:spacing w:after="120" w:before="260"/>
      </w:pPr>
      <w:r>
        <w:rPr>
          <w:b/>
          <w:bCs/>
          <w:color w:val="2E74B5"/>
          <w:sz w:val="24"/>
          <w:szCs w:val="24"/>
        </w:rPr>
        <w:t xml:space="preserve">3.2 Monthly Order Volume (Trailing 12 Months)</w:t>
      </w:r>
    </w:p>
    <w:p>
      <w:pPr>
        <w:spacing w:after="160" w:line="300"/>
      </w:pPr>
      <w:r>
        <w:rPr>
          <w:color w:val="222222"/>
          <w:sz w:val="22"/>
          <w:szCs w:val="22"/>
        </w:rPr>
        <w:t xml:space="preserve">Order counts fluctuate month to month with no single dominant seasonal spike, peaking at 27 orders in October and December, and dipping to single digits in the most recent two months of the trailing window — consistent with data simply thinning out near the end of the generated date range rather than a genuine demand drop.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50"/>
      </w:tblGrid>
      <w:tr>
        <w:trPr>
          <w:tblHeader/>
        </w:trPr>
        <w:tc>
          <w:tcPr>
            <w:tcW w:type="dxa" w:w="2500"/>
            <w:shd w:fill="1F3864" w:val="clear"/>
            <w:tcMar>
              <w:top w:type="dxa" w:w="80"/>
              <w:left w:type="dxa" w:w="120"/>
              <w:bottom w:type="dxa" w:w="80"/>
              <w:right w:type="dxa" w:w="120"/>
            </w:tcMar>
          </w:tcPr>
          <w:p>
            <w:pPr>
              <w:jc w:val="left"/>
            </w:pPr>
            <w:r>
              <w:rPr>
                <w:b/>
                <w:bCs/>
                <w:color w:val="FFFFFF"/>
                <w:sz w:val="20"/>
                <w:szCs w:val="20"/>
              </w:rPr>
              <w:t xml:space="preserve">Month</w:t>
            </w:r>
          </w:p>
        </w:tc>
        <w:tc>
          <w:tcPr>
            <w:tcW w:type="dxa" w:w="2000"/>
            <w:shd w:fill="1F3864" w:val="clear"/>
            <w:tcMar>
              <w:top w:type="dxa" w:w="80"/>
              <w:left w:type="dxa" w:w="120"/>
              <w:bottom w:type="dxa" w:w="80"/>
              <w:right w:type="dxa" w:w="120"/>
            </w:tcMar>
          </w:tcPr>
          <w:p>
            <w:pPr>
              <w:jc w:val="left"/>
            </w:pPr>
            <w:r>
              <w:rPr>
                <w:b/>
                <w:bCs/>
                <w:color w:val="FFFFFF"/>
                <w:sz w:val="20"/>
                <w:szCs w:val="20"/>
              </w:rPr>
              <w:t xml:space="preserve">Orders</w:t>
            </w:r>
          </w:p>
        </w:tc>
        <w:tc>
          <w:tcPr>
            <w:tcW w:type="dxa" w:w="2500"/>
            <w:shd w:fill="1F3864" w:val="clear"/>
            <w:tcMar>
              <w:top w:type="dxa" w:w="80"/>
              <w:left w:type="dxa" w:w="120"/>
              <w:bottom w:type="dxa" w:w="80"/>
              <w:right w:type="dxa" w:w="120"/>
            </w:tcMar>
          </w:tcPr>
          <w:p>
            <w:pPr>
              <w:jc w:val="left"/>
            </w:pPr>
            <w:r>
              <w:rPr>
                <w:b/>
                <w:bCs/>
                <w:color w:val="FFFFFF"/>
                <w:sz w:val="20"/>
                <w:szCs w:val="20"/>
              </w:rPr>
              <w:t xml:space="preserve">Month</w:t>
            </w:r>
          </w:p>
        </w:tc>
        <w:tc>
          <w:tcPr>
            <w:tcW w:type="dxa" w:w="2350"/>
            <w:shd w:fill="1F3864" w:val="clear"/>
            <w:tcMar>
              <w:top w:type="dxa" w:w="80"/>
              <w:left w:type="dxa" w:w="120"/>
              <w:bottom w:type="dxa" w:w="80"/>
              <w:right w:type="dxa" w:w="120"/>
            </w:tcMar>
          </w:tcPr>
          <w:p>
            <w:pPr>
              <w:jc w:val="left"/>
            </w:pPr>
            <w:r>
              <w:rPr>
                <w:b/>
                <w:bCs/>
                <w:color w:val="FFFFFF"/>
                <w:sz w:val="20"/>
                <w:szCs w:val="20"/>
              </w:rPr>
              <w:t xml:space="preserve">Orders</w:t>
            </w:r>
          </w:p>
        </w:tc>
      </w:tr>
      <w:tr>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2025-07</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17</w:t>
            </w:r>
          </w:p>
        </w:tc>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2026-02</w:t>
            </w:r>
          </w:p>
        </w:tc>
        <w:tc>
          <w:tcPr>
            <w:tcW w:type="dxa" w:w="2350"/>
            <w:shd w:fill="FFFFFF" w:val="clear"/>
            <w:tcMar>
              <w:top w:type="dxa" w:w="80"/>
              <w:left w:type="dxa" w:w="120"/>
              <w:bottom w:type="dxa" w:w="80"/>
              <w:right w:type="dxa" w:w="120"/>
            </w:tcMar>
          </w:tcPr>
          <w:p>
            <w:pPr>
              <w:jc w:val="right"/>
            </w:pPr>
            <w:r>
              <w:rPr>
                <w:b w:val="false"/>
                <w:bCs w:val="false"/>
                <w:color w:val="1a1a1a"/>
                <w:sz w:val="20"/>
                <w:szCs w:val="20"/>
              </w:rPr>
              <w:t xml:space="preserve">12</w:t>
            </w:r>
          </w:p>
        </w:tc>
      </w:tr>
      <w:tr>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2025-08</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14</w:t>
            </w:r>
          </w:p>
        </w:tc>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2026-03</w:t>
            </w:r>
          </w:p>
        </w:tc>
        <w:tc>
          <w:tcPr>
            <w:tcW w:type="dxa" w:w="2350"/>
            <w:shd w:fill="FFFFFF" w:val="clear"/>
            <w:tcMar>
              <w:top w:type="dxa" w:w="80"/>
              <w:left w:type="dxa" w:w="120"/>
              <w:bottom w:type="dxa" w:w="80"/>
              <w:right w:type="dxa" w:w="120"/>
            </w:tcMar>
          </w:tcPr>
          <w:p>
            <w:pPr>
              <w:jc w:val="right"/>
            </w:pPr>
            <w:r>
              <w:rPr>
                <w:b w:val="false"/>
                <w:bCs w:val="false"/>
                <w:color w:val="1a1a1a"/>
                <w:sz w:val="20"/>
                <w:szCs w:val="20"/>
              </w:rPr>
              <w:t xml:space="preserve">19</w:t>
            </w:r>
          </w:p>
        </w:tc>
      </w:tr>
      <w:tr>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2025-09</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19</w:t>
            </w:r>
          </w:p>
        </w:tc>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2026-04</w:t>
            </w:r>
          </w:p>
        </w:tc>
        <w:tc>
          <w:tcPr>
            <w:tcW w:type="dxa" w:w="2350"/>
            <w:shd w:fill="FFFFFF" w:val="clear"/>
            <w:tcMar>
              <w:top w:type="dxa" w:w="80"/>
              <w:left w:type="dxa" w:w="120"/>
              <w:bottom w:type="dxa" w:w="80"/>
              <w:right w:type="dxa" w:w="120"/>
            </w:tcMar>
          </w:tcPr>
          <w:p>
            <w:pPr>
              <w:jc w:val="right"/>
            </w:pPr>
            <w:r>
              <w:rPr>
                <w:b w:val="false"/>
                <w:bCs w:val="false"/>
                <w:color w:val="1a1a1a"/>
                <w:sz w:val="20"/>
                <w:szCs w:val="20"/>
              </w:rPr>
              <w:t xml:space="preserve">15</w:t>
            </w:r>
          </w:p>
        </w:tc>
      </w:tr>
      <w:tr>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2025-10</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27</w:t>
            </w:r>
          </w:p>
        </w:tc>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2026-05</w:t>
            </w:r>
          </w:p>
        </w:tc>
        <w:tc>
          <w:tcPr>
            <w:tcW w:type="dxa" w:w="2350"/>
            <w:shd w:fill="FFFFFF" w:val="clear"/>
            <w:tcMar>
              <w:top w:type="dxa" w:w="80"/>
              <w:left w:type="dxa" w:w="120"/>
              <w:bottom w:type="dxa" w:w="80"/>
              <w:right w:type="dxa" w:w="120"/>
            </w:tcMar>
          </w:tcPr>
          <w:p>
            <w:pPr>
              <w:jc w:val="right"/>
            </w:pPr>
            <w:r>
              <w:rPr>
                <w:b w:val="false"/>
                <w:bCs w:val="false"/>
                <w:color w:val="1a1a1a"/>
                <w:sz w:val="20"/>
                <w:szCs w:val="20"/>
              </w:rPr>
              <w:t xml:space="preserve">19</w:t>
            </w:r>
          </w:p>
        </w:tc>
      </w:tr>
      <w:tr>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2025-11</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17</w:t>
            </w:r>
          </w:p>
        </w:tc>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2026-06</w:t>
            </w:r>
          </w:p>
        </w:tc>
        <w:tc>
          <w:tcPr>
            <w:tcW w:type="dxa" w:w="2350"/>
            <w:shd w:fill="FFFFFF" w:val="clear"/>
            <w:tcMar>
              <w:top w:type="dxa" w:w="80"/>
              <w:left w:type="dxa" w:w="120"/>
              <w:bottom w:type="dxa" w:w="80"/>
              <w:right w:type="dxa" w:w="120"/>
            </w:tcMar>
          </w:tcPr>
          <w:p>
            <w:pPr>
              <w:jc w:val="right"/>
            </w:pPr>
            <w:r>
              <w:rPr>
                <w:b w:val="false"/>
                <w:bCs w:val="false"/>
                <w:color w:val="1a1a1a"/>
                <w:sz w:val="20"/>
                <w:szCs w:val="20"/>
              </w:rPr>
              <w:t xml:space="preserve">13</w:t>
            </w:r>
          </w:p>
        </w:tc>
      </w:tr>
      <w:tr>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2025-12</w:t>
            </w:r>
          </w:p>
        </w:tc>
        <w:tc>
          <w:tcPr>
            <w:tcW w:type="dxa" w:w="2000"/>
            <w:shd w:fill="FFFFFF" w:val="clear"/>
            <w:tcMar>
              <w:top w:type="dxa" w:w="80"/>
              <w:left w:type="dxa" w:w="120"/>
              <w:bottom w:type="dxa" w:w="80"/>
              <w:right w:type="dxa" w:w="120"/>
            </w:tcMar>
          </w:tcPr>
          <w:p>
            <w:pPr>
              <w:jc w:val="right"/>
            </w:pPr>
            <w:r>
              <w:rPr>
                <w:b w:val="false"/>
                <w:bCs w:val="false"/>
                <w:color w:val="1a1a1a"/>
                <w:sz w:val="20"/>
                <w:szCs w:val="20"/>
              </w:rPr>
              <w:t xml:space="preserve">27</w:t>
            </w:r>
          </w:p>
        </w:tc>
        <w:tc>
          <w:tcPr>
            <w:tcW w:type="dxa" w:w="2500"/>
            <w:shd w:fill="FFFFFF" w:val="clear"/>
            <w:tcMar>
              <w:top w:type="dxa" w:w="80"/>
              <w:left w:type="dxa" w:w="120"/>
              <w:bottom w:type="dxa" w:w="80"/>
              <w:right w:type="dxa" w:w="120"/>
            </w:tcMar>
          </w:tcPr>
          <w:p>
            <w:pPr>
              <w:jc w:val="left"/>
            </w:pPr>
            <w:r>
              <w:rPr>
                <w:b w:val="false"/>
                <w:bCs w:val="false"/>
                <w:color w:val="1a1a1a"/>
                <w:sz w:val="20"/>
                <w:szCs w:val="20"/>
              </w:rPr>
              <w:t xml:space="preserve">2026-07</w:t>
            </w:r>
          </w:p>
        </w:tc>
        <w:tc>
          <w:tcPr>
            <w:tcW w:type="dxa" w:w="2350"/>
            <w:shd w:fill="FFFFFF" w:val="clear"/>
            <w:tcMar>
              <w:top w:type="dxa" w:w="80"/>
              <w:left w:type="dxa" w:w="120"/>
              <w:bottom w:type="dxa" w:w="80"/>
              <w:right w:type="dxa" w:w="120"/>
            </w:tcMar>
          </w:tcPr>
          <w:p>
            <w:pPr>
              <w:jc w:val="right"/>
            </w:pPr>
            <w:r>
              <w:rPr>
                <w:b w:val="false"/>
                <w:bCs w:val="false"/>
                <w:color w:val="1a1a1a"/>
                <w:sz w:val="20"/>
                <w:szCs w:val="20"/>
              </w:rPr>
              <w:t xml:space="preserve">5</w:t>
            </w:r>
          </w:p>
        </w:tc>
      </w:tr>
    </w:tbl>
    <w:p>
      <w:pPr>
        <w:spacing w:after="200"/>
      </w:pPr>
    </w:p>
    <w:p>
      <w:pPr>
        <w:pStyle w:val="Heading2"/>
        <w:spacing w:after="120" w:before="260"/>
      </w:pPr>
      <w:r>
        <w:rPr>
          <w:b/>
          <w:bCs/>
          <w:color w:val="2E74B5"/>
          <w:sz w:val="24"/>
          <w:szCs w:val="24"/>
        </w:rPr>
        <w:t xml:space="preserve">3.3 Year-over-Year Growth</w:t>
      </w:r>
    </w:p>
    <w:p>
      <w:pPr>
        <w:spacing w:after="160" w:line="300"/>
      </w:pPr>
      <w:r>
        <w:rPr>
          <w:color w:val="222222"/>
          <w:sz w:val="22"/>
          <w:szCs w:val="22"/>
        </w:rPr>
        <w:t xml:space="preserve">Comparing 2025 monthly revenue against the same month in 2024 shows strong reported growth early in the year (e.g. +210% in January), largely because early-2024 volumes were low in the seed data. As a directional pattern rather than a like-for-like benchmark, this confirms the YoY query logic is correct and ready to apply to a full multi-year production dataset, where growth trends would be more meaningful.</w:t>
      </w:r>
    </w:p>
    <w:p>
      <w:pPr>
        <w:pStyle w:val="Heading1"/>
        <w:pBdr>
          <w:bottom w:val="single" w:color="2E74B5" w:sz="8" w:space="4"/>
        </w:pBdr>
        <w:spacing w:after="160" w:before="360"/>
      </w:pPr>
      <w:r>
        <w:rPr>
          <w:b/>
          <w:bCs/>
          <w:color w:val="1F3864"/>
          <w:sz w:val="28"/>
          <w:szCs w:val="28"/>
        </w:rPr>
        <w:t xml:space="preserve">4. Customer Insights</w:t>
      </w:r>
    </w:p>
    <w:p>
      <w:pPr>
        <w:pStyle w:val="Heading2"/>
        <w:spacing w:after="120" w:before="260"/>
      </w:pPr>
      <w:r>
        <w:rPr>
          <w:b/>
          <w:bCs/>
          <w:color w:val="2E74B5"/>
          <w:sz w:val="24"/>
          <w:szCs w:val="24"/>
        </w:rPr>
        <w:t xml:space="preserve">4.1 Top Customers by Value</w:t>
      </w:r>
    </w:p>
    <w:p>
      <w:pPr>
        <w:spacing w:after="160" w:line="300"/>
      </w:pPr>
      <w:r>
        <w:rPr>
          <w:color w:val="222222"/>
          <w:sz w:val="22"/>
          <w:szCs w:val="22"/>
        </w:rPr>
        <w:t xml:space="preserve">The 10 highest-value customers are led by CUST079 (₹43,148.87) and CUST021 (₹40,435.33). These two alone account for roughly 4.7% of total revenue, underscoring the value of a retention program targeted at top-tier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50"/>
      </w:tblGrid>
      <w:tr>
        <w:trPr>
          <w:tblHeader/>
        </w:trPr>
        <w:tc>
          <w:tcPr>
            <w:tcW w:type="dxa" w:w="1600"/>
            <w:shd w:fill="1F3864" w:val="clear"/>
            <w:tcMar>
              <w:top w:type="dxa" w:w="80"/>
              <w:left w:type="dxa" w:w="120"/>
              <w:bottom w:type="dxa" w:w="80"/>
              <w:right w:type="dxa" w:w="120"/>
            </w:tcMar>
          </w:tcPr>
          <w:p>
            <w:pPr>
              <w:jc w:val="left"/>
            </w:pPr>
            <w:r>
              <w:rPr>
                <w:b/>
                <w:bCs/>
                <w:color w:val="FFFFFF"/>
                <w:sz w:val="20"/>
                <w:szCs w:val="20"/>
              </w:rPr>
              <w:t xml:space="preserve">Rank</w:t>
            </w:r>
          </w:p>
        </w:tc>
        <w:tc>
          <w:tcPr>
            <w:tcW w:type="dxa" w:w="3600"/>
            <w:shd w:fill="1F3864" w:val="clear"/>
            <w:tcMar>
              <w:top w:type="dxa" w:w="80"/>
              <w:left w:type="dxa" w:w="120"/>
              <w:bottom w:type="dxa" w:w="80"/>
              <w:right w:type="dxa" w:w="120"/>
            </w:tcMar>
          </w:tcPr>
          <w:p>
            <w:pPr>
              <w:jc w:val="left"/>
            </w:pPr>
            <w:r>
              <w:rPr>
                <w:b/>
                <w:bCs/>
                <w:color w:val="FFFFFF"/>
                <w:sz w:val="20"/>
                <w:szCs w:val="20"/>
              </w:rPr>
              <w:t xml:space="preserve">Customer ID</w:t>
            </w:r>
          </w:p>
        </w:tc>
        <w:tc>
          <w:tcPr>
            <w:tcW w:type="dxa" w:w="4150"/>
            <w:shd w:fill="1F3864" w:val="clear"/>
            <w:tcMar>
              <w:top w:type="dxa" w:w="80"/>
              <w:left w:type="dxa" w:w="120"/>
              <w:bottom w:type="dxa" w:w="80"/>
              <w:right w:type="dxa" w:w="120"/>
            </w:tcMar>
          </w:tcPr>
          <w:p>
            <w:pPr>
              <w:jc w:val="left"/>
            </w:pPr>
            <w:r>
              <w:rPr>
                <w:b/>
                <w:bCs/>
                <w:color w:val="FFFFFF"/>
                <w:sz w:val="20"/>
                <w:szCs w:val="20"/>
              </w:rPr>
              <w:t xml:space="preserve">Total Order Value (₹)</w:t>
            </w:r>
          </w:p>
        </w:tc>
      </w:tr>
      <w:tr>
        <w:tc>
          <w:tcPr>
            <w:tcW w:type="dxa" w:w="1600"/>
            <w:shd w:fill="FFFFFF" w:val="clear"/>
            <w:tcMar>
              <w:top w:type="dxa" w:w="80"/>
              <w:left w:type="dxa" w:w="120"/>
              <w:bottom w:type="dxa" w:w="80"/>
              <w:right w:type="dxa" w:w="120"/>
            </w:tcMar>
          </w:tcPr>
          <w:p>
            <w:pPr>
              <w:jc w:val="left"/>
            </w:pPr>
            <w:r>
              <w:rPr>
                <w:b w:val="false"/>
                <w:bCs w:val="false"/>
                <w:color w:val="1a1a1a"/>
                <w:sz w:val="20"/>
                <w:szCs w:val="20"/>
              </w:rPr>
              <w:t xml:space="preserve">1</w:t>
            </w:r>
          </w:p>
        </w:tc>
        <w:tc>
          <w:tcPr>
            <w:tcW w:type="dxa" w:w="3600"/>
            <w:shd w:fill="FFFFFF" w:val="clear"/>
            <w:tcMar>
              <w:top w:type="dxa" w:w="80"/>
              <w:left w:type="dxa" w:w="120"/>
              <w:bottom w:type="dxa" w:w="80"/>
              <w:right w:type="dxa" w:w="120"/>
            </w:tcMar>
          </w:tcPr>
          <w:p>
            <w:pPr>
              <w:jc w:val="left"/>
            </w:pPr>
            <w:r>
              <w:rPr>
                <w:b w:val="false"/>
                <w:bCs w:val="false"/>
                <w:color w:val="1a1a1a"/>
                <w:sz w:val="20"/>
                <w:szCs w:val="20"/>
              </w:rPr>
              <w:t xml:space="preserve">CUST079</w:t>
            </w:r>
          </w:p>
        </w:tc>
        <w:tc>
          <w:tcPr>
            <w:tcW w:type="dxa" w:w="4150"/>
            <w:shd w:fill="FFFFFF" w:val="clear"/>
            <w:tcMar>
              <w:top w:type="dxa" w:w="80"/>
              <w:left w:type="dxa" w:w="120"/>
              <w:bottom w:type="dxa" w:w="80"/>
              <w:right w:type="dxa" w:w="120"/>
            </w:tcMar>
          </w:tcPr>
          <w:p>
            <w:pPr>
              <w:jc w:val="right"/>
            </w:pPr>
            <w:r>
              <w:rPr>
                <w:b w:val="false"/>
                <w:bCs w:val="false"/>
                <w:color w:val="1a1a1a"/>
                <w:sz w:val="20"/>
                <w:szCs w:val="20"/>
              </w:rPr>
              <w:t xml:space="preserve">43,148.87</w:t>
            </w:r>
          </w:p>
        </w:tc>
      </w:tr>
      <w:tr>
        <w:tc>
          <w:tcPr>
            <w:tcW w:type="dxa" w:w="1600"/>
            <w:shd w:fill="FFFFFF" w:val="clear"/>
            <w:tcMar>
              <w:top w:type="dxa" w:w="80"/>
              <w:left w:type="dxa" w:w="120"/>
              <w:bottom w:type="dxa" w:w="80"/>
              <w:right w:type="dxa" w:w="120"/>
            </w:tcMar>
          </w:tcPr>
          <w:p>
            <w:pPr>
              <w:jc w:val="left"/>
            </w:pPr>
            <w:r>
              <w:rPr>
                <w:b w:val="false"/>
                <w:bCs w:val="false"/>
                <w:color w:val="1a1a1a"/>
                <w:sz w:val="20"/>
                <w:szCs w:val="20"/>
              </w:rPr>
              <w:t xml:space="preserve">2</w:t>
            </w:r>
          </w:p>
        </w:tc>
        <w:tc>
          <w:tcPr>
            <w:tcW w:type="dxa" w:w="3600"/>
            <w:shd w:fill="FFFFFF" w:val="clear"/>
            <w:tcMar>
              <w:top w:type="dxa" w:w="80"/>
              <w:left w:type="dxa" w:w="120"/>
              <w:bottom w:type="dxa" w:w="80"/>
              <w:right w:type="dxa" w:w="120"/>
            </w:tcMar>
          </w:tcPr>
          <w:p>
            <w:pPr>
              <w:jc w:val="left"/>
            </w:pPr>
            <w:r>
              <w:rPr>
                <w:b w:val="false"/>
                <w:bCs w:val="false"/>
                <w:color w:val="1a1a1a"/>
                <w:sz w:val="20"/>
                <w:szCs w:val="20"/>
              </w:rPr>
              <w:t xml:space="preserve">CUST021</w:t>
            </w:r>
          </w:p>
        </w:tc>
        <w:tc>
          <w:tcPr>
            <w:tcW w:type="dxa" w:w="4150"/>
            <w:shd w:fill="FFFFFF" w:val="clear"/>
            <w:tcMar>
              <w:top w:type="dxa" w:w="80"/>
              <w:left w:type="dxa" w:w="120"/>
              <w:bottom w:type="dxa" w:w="80"/>
              <w:right w:type="dxa" w:w="120"/>
            </w:tcMar>
          </w:tcPr>
          <w:p>
            <w:pPr>
              <w:jc w:val="right"/>
            </w:pPr>
            <w:r>
              <w:rPr>
                <w:b w:val="false"/>
                <w:bCs w:val="false"/>
                <w:color w:val="1a1a1a"/>
                <w:sz w:val="20"/>
                <w:szCs w:val="20"/>
              </w:rPr>
              <w:t xml:space="preserve">40,435.33</w:t>
            </w:r>
          </w:p>
        </w:tc>
      </w:tr>
      <w:tr>
        <w:tc>
          <w:tcPr>
            <w:tcW w:type="dxa" w:w="1600"/>
            <w:shd w:fill="FFFFFF" w:val="clear"/>
            <w:tcMar>
              <w:top w:type="dxa" w:w="80"/>
              <w:left w:type="dxa" w:w="120"/>
              <w:bottom w:type="dxa" w:w="80"/>
              <w:right w:type="dxa" w:w="120"/>
            </w:tcMar>
          </w:tcPr>
          <w:p>
            <w:pPr>
              <w:jc w:val="left"/>
            </w:pPr>
            <w:r>
              <w:rPr>
                <w:b w:val="false"/>
                <w:bCs w:val="false"/>
                <w:color w:val="1a1a1a"/>
                <w:sz w:val="20"/>
                <w:szCs w:val="20"/>
              </w:rPr>
              <w:t xml:space="preserve">3</w:t>
            </w:r>
          </w:p>
        </w:tc>
        <w:tc>
          <w:tcPr>
            <w:tcW w:type="dxa" w:w="3600"/>
            <w:shd w:fill="FFFFFF" w:val="clear"/>
            <w:tcMar>
              <w:top w:type="dxa" w:w="80"/>
              <w:left w:type="dxa" w:w="120"/>
              <w:bottom w:type="dxa" w:w="80"/>
              <w:right w:type="dxa" w:w="120"/>
            </w:tcMar>
          </w:tcPr>
          <w:p>
            <w:pPr>
              <w:jc w:val="left"/>
            </w:pPr>
            <w:r>
              <w:rPr>
                <w:b w:val="false"/>
                <w:bCs w:val="false"/>
                <w:color w:val="1a1a1a"/>
                <w:sz w:val="20"/>
                <w:szCs w:val="20"/>
              </w:rPr>
              <w:t xml:space="preserve">CUST340</w:t>
            </w:r>
          </w:p>
        </w:tc>
        <w:tc>
          <w:tcPr>
            <w:tcW w:type="dxa" w:w="4150"/>
            <w:shd w:fill="FFFFFF" w:val="clear"/>
            <w:tcMar>
              <w:top w:type="dxa" w:w="80"/>
              <w:left w:type="dxa" w:w="120"/>
              <w:bottom w:type="dxa" w:w="80"/>
              <w:right w:type="dxa" w:w="120"/>
            </w:tcMar>
          </w:tcPr>
          <w:p>
            <w:pPr>
              <w:jc w:val="right"/>
            </w:pPr>
            <w:r>
              <w:rPr>
                <w:b w:val="false"/>
                <w:bCs w:val="false"/>
                <w:color w:val="1a1a1a"/>
                <w:sz w:val="20"/>
                <w:szCs w:val="20"/>
              </w:rPr>
              <w:t xml:space="preserve">28,429.96</w:t>
            </w:r>
          </w:p>
        </w:tc>
      </w:tr>
      <w:tr>
        <w:tc>
          <w:tcPr>
            <w:tcW w:type="dxa" w:w="1600"/>
            <w:shd w:fill="FFFFFF" w:val="clear"/>
            <w:tcMar>
              <w:top w:type="dxa" w:w="80"/>
              <w:left w:type="dxa" w:w="120"/>
              <w:bottom w:type="dxa" w:w="80"/>
              <w:right w:type="dxa" w:w="120"/>
            </w:tcMar>
          </w:tcPr>
          <w:p>
            <w:pPr>
              <w:jc w:val="left"/>
            </w:pPr>
            <w:r>
              <w:rPr>
                <w:b w:val="false"/>
                <w:bCs w:val="false"/>
                <w:color w:val="1a1a1a"/>
                <w:sz w:val="20"/>
                <w:szCs w:val="20"/>
              </w:rPr>
              <w:t xml:space="preserve">4</w:t>
            </w:r>
          </w:p>
        </w:tc>
        <w:tc>
          <w:tcPr>
            <w:tcW w:type="dxa" w:w="3600"/>
            <w:shd w:fill="FFFFFF" w:val="clear"/>
            <w:tcMar>
              <w:top w:type="dxa" w:w="80"/>
              <w:left w:type="dxa" w:w="120"/>
              <w:bottom w:type="dxa" w:w="80"/>
              <w:right w:type="dxa" w:w="120"/>
            </w:tcMar>
          </w:tcPr>
          <w:p>
            <w:pPr>
              <w:jc w:val="left"/>
            </w:pPr>
            <w:r>
              <w:rPr>
                <w:b w:val="false"/>
                <w:bCs w:val="false"/>
                <w:color w:val="1a1a1a"/>
                <w:sz w:val="20"/>
                <w:szCs w:val="20"/>
              </w:rPr>
              <w:t xml:space="preserve">CUST422</w:t>
            </w:r>
          </w:p>
        </w:tc>
        <w:tc>
          <w:tcPr>
            <w:tcW w:type="dxa" w:w="4150"/>
            <w:shd w:fill="FFFFFF" w:val="clear"/>
            <w:tcMar>
              <w:top w:type="dxa" w:w="80"/>
              <w:left w:type="dxa" w:w="120"/>
              <w:bottom w:type="dxa" w:w="80"/>
              <w:right w:type="dxa" w:w="120"/>
            </w:tcMar>
          </w:tcPr>
          <w:p>
            <w:pPr>
              <w:jc w:val="right"/>
            </w:pPr>
            <w:r>
              <w:rPr>
                <w:b w:val="false"/>
                <w:bCs w:val="false"/>
                <w:color w:val="1a1a1a"/>
                <w:sz w:val="20"/>
                <w:szCs w:val="20"/>
              </w:rPr>
              <w:t xml:space="preserve">27,843.18</w:t>
            </w:r>
          </w:p>
        </w:tc>
      </w:tr>
      <w:tr>
        <w:tc>
          <w:tcPr>
            <w:tcW w:type="dxa" w:w="1600"/>
            <w:shd w:fill="FFFFFF" w:val="clear"/>
            <w:tcMar>
              <w:top w:type="dxa" w:w="80"/>
              <w:left w:type="dxa" w:w="120"/>
              <w:bottom w:type="dxa" w:w="80"/>
              <w:right w:type="dxa" w:w="120"/>
            </w:tcMar>
          </w:tcPr>
          <w:p>
            <w:pPr>
              <w:jc w:val="left"/>
            </w:pPr>
            <w:r>
              <w:rPr>
                <w:b w:val="false"/>
                <w:bCs w:val="false"/>
                <w:color w:val="1a1a1a"/>
                <w:sz w:val="20"/>
                <w:szCs w:val="20"/>
              </w:rPr>
              <w:t xml:space="preserve">5</w:t>
            </w:r>
          </w:p>
        </w:tc>
        <w:tc>
          <w:tcPr>
            <w:tcW w:type="dxa" w:w="3600"/>
            <w:shd w:fill="FFFFFF" w:val="clear"/>
            <w:tcMar>
              <w:top w:type="dxa" w:w="80"/>
              <w:left w:type="dxa" w:w="120"/>
              <w:bottom w:type="dxa" w:w="80"/>
              <w:right w:type="dxa" w:w="120"/>
            </w:tcMar>
          </w:tcPr>
          <w:p>
            <w:pPr>
              <w:jc w:val="left"/>
            </w:pPr>
            <w:r>
              <w:rPr>
                <w:b w:val="false"/>
                <w:bCs w:val="false"/>
                <w:color w:val="1a1a1a"/>
                <w:sz w:val="20"/>
                <w:szCs w:val="20"/>
              </w:rPr>
              <w:t xml:space="preserve">CUST121</w:t>
            </w:r>
          </w:p>
        </w:tc>
        <w:tc>
          <w:tcPr>
            <w:tcW w:type="dxa" w:w="4150"/>
            <w:shd w:fill="FFFFFF" w:val="clear"/>
            <w:tcMar>
              <w:top w:type="dxa" w:w="80"/>
              <w:left w:type="dxa" w:w="120"/>
              <w:bottom w:type="dxa" w:w="80"/>
              <w:right w:type="dxa" w:w="120"/>
            </w:tcMar>
          </w:tcPr>
          <w:p>
            <w:pPr>
              <w:jc w:val="right"/>
            </w:pPr>
            <w:r>
              <w:rPr>
                <w:b w:val="false"/>
                <w:bCs w:val="false"/>
                <w:color w:val="1a1a1a"/>
                <w:sz w:val="20"/>
                <w:szCs w:val="20"/>
              </w:rPr>
              <w:t xml:space="preserve">26,699.83</w:t>
            </w:r>
          </w:p>
        </w:tc>
      </w:tr>
    </w:tbl>
    <w:p>
      <w:pPr>
        <w:spacing w:after="200"/>
      </w:pPr>
    </w:p>
    <w:p>
      <w:pPr>
        <w:pStyle w:val="Heading2"/>
        <w:spacing w:after="120" w:before="260"/>
      </w:pPr>
      <w:r>
        <w:rPr>
          <w:b/>
          <w:bCs/>
          <w:color w:val="2E74B5"/>
          <w:sz w:val="24"/>
          <w:szCs w:val="24"/>
        </w:rPr>
        <w:t xml:space="preserve">4.2 Customer Value Segmentation (Quartiles)</w:t>
      </w:r>
    </w:p>
    <w:p>
      <w:pPr>
        <w:spacing w:after="160" w:line="300"/>
      </w:pPr>
      <w:r>
        <w:rPr>
          <w:color w:val="222222"/>
          <w:sz w:val="22"/>
          <w:szCs w:val="22"/>
        </w:rPr>
        <w:t xml:space="preserve">Customers were split into four value-based quartiles using NTILE(4). The Platinum quartile (top 25% by spend, ~53 customers) is anchored by CUST079 and CUST021 at the top; the Bronze quartile includes customers with net-negative order value once returns are netted out — a useful flag for the customer-success team to review, since a negative lifetime value usually means high return volume relative to purchases.</w:t>
      </w:r>
    </w:p>
    <w:p>
      <w:pPr>
        <w:pStyle w:val="Heading2"/>
        <w:spacing w:after="120" w:before="260"/>
      </w:pPr>
      <w:r>
        <w:rPr>
          <w:b/>
          <w:bCs/>
          <w:color w:val="2E74B5"/>
          <w:sz w:val="24"/>
          <w:szCs w:val="24"/>
        </w:rPr>
        <w:t xml:space="preserve">4.3 Revenue Concentration</w:t>
      </w:r>
    </w:p>
    <w:p>
      <w:pPr>
        <w:spacing w:after="160" w:line="300"/>
      </w:pPr>
      <w:r>
        <w:rPr>
          <w:color w:val="222222"/>
          <w:sz w:val="22"/>
          <w:szCs w:val="22"/>
        </w:rPr>
        <w:t xml:space="preserve">A cumulative-distribution query shows the top 5 customers already account for 10.0% of total revenue, and concentration continues to build quickly from there — a classic Pareto pattern where a minority of customers drives a disproportionate share of sales. This supports prioritizing retention and loyalty investment on the top quartile identified in 4.2.</w:t>
      </w:r>
    </w:p>
    <w:p>
      <w:pPr>
        <w:pStyle w:val="Heading2"/>
        <w:spacing w:after="120" w:before="260"/>
      </w:pPr>
      <w:r>
        <w:rPr>
          <w:b/>
          <w:bCs/>
          <w:color w:val="2E74B5"/>
          <w:sz w:val="24"/>
          <w:szCs w:val="24"/>
        </w:rPr>
        <w:t xml:space="preserve">4.4 Purchase Cadence &amp; At-Risk Customers</w:t>
      </w:r>
    </w:p>
    <w:p>
      <w:pPr>
        <w:spacing w:after="160" w:line="300"/>
      </w:pPr>
      <w:r>
        <w:rPr>
          <w:color w:val="222222"/>
          <w:sz w:val="22"/>
          <w:szCs w:val="22"/>
        </w:rPr>
        <w:t xml:space="preserve">Using a LAG window function, the gap in days between each customer's consecutive orders was calculated, and customers whose average gap exceeds 30 days are flagged 'At Risk' of churn. A large share of repeat customers fall into this category, suggesting an opportunity for a re-engagement campaign (e.g. reminder emails or targeted offers) triggered once a customer passes 30 days of inactivity.</w:t>
      </w:r>
    </w:p>
    <w:p>
      <w:pPr>
        <w:pStyle w:val="Heading2"/>
        <w:spacing w:after="120" w:before="260"/>
      </w:pPr>
      <w:r>
        <w:rPr>
          <w:b/>
          <w:bCs/>
          <w:color w:val="2E74B5"/>
          <w:sz w:val="24"/>
          <w:szCs w:val="24"/>
        </w:rPr>
        <w:t xml:space="preserve">4.5 Category Loyalty</w:t>
      </w:r>
    </w:p>
    <w:p>
      <w:pPr>
        <w:spacing w:after="160" w:line="300"/>
      </w:pPr>
      <w:r>
        <w:rPr>
          <w:color w:val="222222"/>
          <w:sz w:val="22"/>
          <w:szCs w:val="22"/>
        </w:rPr>
        <w:t xml:space="preserve">Comparing each customer's first and most recent purchase category shows that a majority of repeat customers shifted categories between their first and last order (e.g. from Electronics to Clothing), indicating customers browse across categories rather than staying loyal to one — relevant for cross-category recommendation and bundling strategy.</w:t>
      </w:r>
    </w:p>
    <w:p>
      <w:pPr>
        <w:pStyle w:val="Heading2"/>
        <w:spacing w:after="120" w:before="260"/>
      </w:pPr>
      <w:r>
        <w:rPr>
          <w:b/>
          <w:bCs/>
          <w:color w:val="2E74B5"/>
          <w:sz w:val="24"/>
          <w:szCs w:val="24"/>
        </w:rPr>
        <w:t xml:space="preserve">4.6 Cohort Retention</w:t>
      </w:r>
    </w:p>
    <w:p>
      <w:pPr>
        <w:spacing w:after="160" w:line="300"/>
      </w:pPr>
      <w:r>
        <w:rPr>
          <w:color w:val="222222"/>
          <w:sz w:val="22"/>
          <w:szCs w:val="22"/>
        </w:rPr>
        <w:t xml:space="preserve">Customers were grouped into monthly cohorts by registration date, then tracked for repeat ordering activity in the months following registration. Early cohorts show only a small fraction of customers placing a second order in months 1–3 post-registration, pointing to an onboarding/early-engagement gap worth addressing with a first-30-days retention flow.</w:t>
      </w:r>
    </w:p>
    <w:p>
      <w:pPr>
        <w:pStyle w:val="Heading1"/>
        <w:pBdr>
          <w:bottom w:val="single" w:color="2E74B5" w:sz="8" w:space="4"/>
        </w:pBdr>
        <w:spacing w:after="160" w:before="360"/>
      </w:pPr>
      <w:r>
        <w:rPr>
          <w:b/>
          <w:bCs/>
          <w:color w:val="1F3864"/>
          <w:sz w:val="28"/>
          <w:szCs w:val="28"/>
        </w:rPr>
        <w:t xml:space="preserve">5. Product &amp; Returns Analysis</w:t>
      </w:r>
    </w:p>
    <w:p>
      <w:pPr>
        <w:pStyle w:val="Heading2"/>
        <w:spacing w:after="120" w:before="260"/>
      </w:pPr>
      <w:r>
        <w:rPr>
          <w:b/>
          <w:bCs/>
          <w:color w:val="2E74B5"/>
          <w:sz w:val="24"/>
          <w:szCs w:val="24"/>
        </w:rPr>
        <w:t xml:space="preserve">5.1 Return Rate by Category</w:t>
      </w:r>
    </w:p>
    <w:p>
      <w:pPr>
        <w:spacing w:after="160" w:line="300"/>
      </w:pPr>
      <w:r>
        <w:rPr>
          <w:color w:val="222222"/>
          <w:sz w:val="22"/>
          <w:szCs w:val="22"/>
        </w:rPr>
        <w:t xml:space="preserve">Return rate (returned units ÷ total absolute units) is highest in Home (5.74%), followed by Electronics (3.38%), Clothing (3.34%), and Books (2.84%). Home's elevated return rate is the clearest category-level quality signal in the dataset and warrants a closer look at specific SKUs, sizing/fit information, or packaging/shipping damage.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pPr>
              <w:jc w:val="left"/>
            </w:pPr>
            <w:r>
              <w:rPr>
                <w:b/>
                <w:bCs/>
                <w:color w:val="FFFFFF"/>
                <w:sz w:val="20"/>
                <w:szCs w:val="20"/>
              </w:rPr>
              <w:t xml:space="preserve">Category</w:t>
            </w:r>
          </w:p>
        </w:tc>
        <w:tc>
          <w:tcPr>
            <w:tcW w:type="dxa" w:w="4675"/>
            <w:shd w:fill="1F3864" w:val="clear"/>
            <w:tcMar>
              <w:top w:type="dxa" w:w="80"/>
              <w:left w:type="dxa" w:w="120"/>
              <w:bottom w:type="dxa" w:w="80"/>
              <w:right w:type="dxa" w:w="120"/>
            </w:tcMar>
          </w:tcPr>
          <w:p>
            <w:pPr>
              <w:jc w:val="left"/>
            </w:pPr>
            <w:r>
              <w:rPr>
                <w:b/>
                <w:bCs/>
                <w:color w:val="FFFFFF"/>
                <w:sz w:val="20"/>
                <w:szCs w:val="20"/>
              </w:rPr>
              <w:t xml:space="preserve">Return Rate</w:t>
            </w:r>
          </w:p>
        </w:tc>
      </w:tr>
      <w:tr>
        <w:tc>
          <w:tcPr>
            <w:tcW w:type="dxa" w:w="4675"/>
            <w:shd w:fill="FFFFFF" w:val="clear"/>
            <w:tcMar>
              <w:top w:type="dxa" w:w="80"/>
              <w:left w:type="dxa" w:w="120"/>
              <w:bottom w:type="dxa" w:w="80"/>
              <w:right w:type="dxa" w:w="120"/>
            </w:tcMar>
          </w:tcPr>
          <w:p>
            <w:pPr>
              <w:jc w:val="left"/>
            </w:pPr>
            <w:r>
              <w:rPr>
                <w:b w:val="false"/>
                <w:bCs w:val="false"/>
                <w:color w:val="1a1a1a"/>
                <w:sz w:val="20"/>
                <w:szCs w:val="20"/>
              </w:rPr>
              <w:t xml:space="preserve">Home</w:t>
            </w:r>
          </w:p>
        </w:tc>
        <w:tc>
          <w:tcPr>
            <w:tcW w:type="dxa" w:w="4675"/>
            <w:shd w:fill="FFFFFF" w:val="clear"/>
            <w:tcMar>
              <w:top w:type="dxa" w:w="80"/>
              <w:left w:type="dxa" w:w="120"/>
              <w:bottom w:type="dxa" w:w="80"/>
              <w:right w:type="dxa" w:w="120"/>
            </w:tcMar>
          </w:tcPr>
          <w:p>
            <w:pPr>
              <w:jc w:val="right"/>
            </w:pPr>
            <w:r>
              <w:rPr>
                <w:b w:val="false"/>
                <w:bCs w:val="false"/>
                <w:color w:val="1a1a1a"/>
                <w:sz w:val="20"/>
                <w:szCs w:val="20"/>
              </w:rPr>
              <w:t xml:space="preserve">5.74%</w:t>
            </w:r>
          </w:p>
        </w:tc>
      </w:tr>
      <w:tr>
        <w:tc>
          <w:tcPr>
            <w:tcW w:type="dxa" w:w="4675"/>
            <w:shd w:fill="FFFFFF" w:val="clear"/>
            <w:tcMar>
              <w:top w:type="dxa" w:w="80"/>
              <w:left w:type="dxa" w:w="120"/>
              <w:bottom w:type="dxa" w:w="80"/>
              <w:right w:type="dxa" w:w="120"/>
            </w:tcMar>
          </w:tcPr>
          <w:p>
            <w:pPr>
              <w:jc w:val="left"/>
            </w:pPr>
            <w:r>
              <w:rPr>
                <w:b w:val="false"/>
                <w:bCs w:val="false"/>
                <w:color w:val="1a1a1a"/>
                <w:sz w:val="20"/>
                <w:szCs w:val="20"/>
              </w:rPr>
              <w:t xml:space="preserve">Electronics</w:t>
            </w:r>
          </w:p>
        </w:tc>
        <w:tc>
          <w:tcPr>
            <w:tcW w:type="dxa" w:w="4675"/>
            <w:shd w:fill="FFFFFF" w:val="clear"/>
            <w:tcMar>
              <w:top w:type="dxa" w:w="80"/>
              <w:left w:type="dxa" w:w="120"/>
              <w:bottom w:type="dxa" w:w="80"/>
              <w:right w:type="dxa" w:w="120"/>
            </w:tcMar>
          </w:tcPr>
          <w:p>
            <w:pPr>
              <w:jc w:val="right"/>
            </w:pPr>
            <w:r>
              <w:rPr>
                <w:b w:val="false"/>
                <w:bCs w:val="false"/>
                <w:color w:val="1a1a1a"/>
                <w:sz w:val="20"/>
                <w:szCs w:val="20"/>
              </w:rPr>
              <w:t xml:space="preserve">3.38%</w:t>
            </w:r>
          </w:p>
        </w:tc>
      </w:tr>
      <w:tr>
        <w:tc>
          <w:tcPr>
            <w:tcW w:type="dxa" w:w="4675"/>
            <w:shd w:fill="FFFFFF" w:val="clear"/>
            <w:tcMar>
              <w:top w:type="dxa" w:w="80"/>
              <w:left w:type="dxa" w:w="120"/>
              <w:bottom w:type="dxa" w:w="80"/>
              <w:right w:type="dxa" w:w="120"/>
            </w:tcMar>
          </w:tcPr>
          <w:p>
            <w:pPr>
              <w:jc w:val="left"/>
            </w:pPr>
            <w:r>
              <w:rPr>
                <w:b w:val="false"/>
                <w:bCs w:val="false"/>
                <w:color w:val="1a1a1a"/>
                <w:sz w:val="20"/>
                <w:szCs w:val="20"/>
              </w:rPr>
              <w:t xml:space="preserve">Clothing</w:t>
            </w:r>
          </w:p>
        </w:tc>
        <w:tc>
          <w:tcPr>
            <w:tcW w:type="dxa" w:w="4675"/>
            <w:shd w:fill="FFFFFF" w:val="clear"/>
            <w:tcMar>
              <w:top w:type="dxa" w:w="80"/>
              <w:left w:type="dxa" w:w="120"/>
              <w:bottom w:type="dxa" w:w="80"/>
              <w:right w:type="dxa" w:w="120"/>
            </w:tcMar>
          </w:tcPr>
          <w:p>
            <w:pPr>
              <w:jc w:val="right"/>
            </w:pPr>
            <w:r>
              <w:rPr>
                <w:b w:val="false"/>
                <w:bCs w:val="false"/>
                <w:color w:val="1a1a1a"/>
                <w:sz w:val="20"/>
                <w:szCs w:val="20"/>
              </w:rPr>
              <w:t xml:space="preserve">3.34%</w:t>
            </w:r>
          </w:p>
        </w:tc>
      </w:tr>
      <w:tr>
        <w:tc>
          <w:tcPr>
            <w:tcW w:type="dxa" w:w="4675"/>
            <w:shd w:fill="FFFFFF" w:val="clear"/>
            <w:tcMar>
              <w:top w:type="dxa" w:w="80"/>
              <w:left w:type="dxa" w:w="120"/>
              <w:bottom w:type="dxa" w:w="80"/>
              <w:right w:type="dxa" w:w="120"/>
            </w:tcMar>
          </w:tcPr>
          <w:p>
            <w:pPr>
              <w:jc w:val="left"/>
            </w:pPr>
            <w:r>
              <w:rPr>
                <w:b w:val="false"/>
                <w:bCs w:val="false"/>
                <w:color w:val="1a1a1a"/>
                <w:sz w:val="20"/>
                <w:szCs w:val="20"/>
              </w:rPr>
              <w:t xml:space="preserve">Books</w:t>
            </w:r>
          </w:p>
        </w:tc>
        <w:tc>
          <w:tcPr>
            <w:tcW w:type="dxa" w:w="4675"/>
            <w:shd w:fill="FFFFFF" w:val="clear"/>
            <w:tcMar>
              <w:top w:type="dxa" w:w="80"/>
              <w:left w:type="dxa" w:w="120"/>
              <w:bottom w:type="dxa" w:w="80"/>
              <w:right w:type="dxa" w:w="120"/>
            </w:tcMar>
          </w:tcPr>
          <w:p>
            <w:pPr>
              <w:jc w:val="right"/>
            </w:pPr>
            <w:r>
              <w:rPr>
                <w:b w:val="false"/>
                <w:bCs w:val="false"/>
                <w:color w:val="1a1a1a"/>
                <w:sz w:val="20"/>
                <w:szCs w:val="20"/>
              </w:rPr>
              <w:t xml:space="preserve">2.84%</w:t>
            </w:r>
          </w:p>
        </w:tc>
      </w:tr>
    </w:tbl>
    <w:p>
      <w:pPr>
        <w:spacing w:after="200"/>
      </w:pPr>
    </w:p>
    <w:p>
      <w:pPr>
        <w:pStyle w:val="Heading2"/>
        <w:spacing w:after="120" w:before="260"/>
      </w:pPr>
      <w:r>
        <w:rPr>
          <w:b/>
          <w:bCs/>
          <w:color w:val="2E74B5"/>
          <w:sz w:val="24"/>
          <w:szCs w:val="24"/>
        </w:rPr>
        <w:t xml:space="preserve">5.2 Products with More Returns than Purchases</w:t>
      </w:r>
    </w:p>
    <w:p>
      <w:pPr>
        <w:spacing w:after="160" w:line="300"/>
      </w:pPr>
      <w:r>
        <w:rPr>
          <w:color w:val="222222"/>
          <w:sz w:val="22"/>
          <w:szCs w:val="22"/>
        </w:rPr>
        <w:t xml:space="preserve">Twelve products show more returned units than purchased units within the observed window — including Range Sofa (0 purchased, 4 returned), Most Mobile (0 purchased, 5 returned), and Less Chair (0 purchased, 5 returned). This pattern (returns with no corresponding purchase in-window) typically indicates orders placed before the analysis period or data-entry/reconciliation issues, and should be reconciled against full order history before drawing product-quality conclusions.</w:t>
      </w:r>
    </w:p>
    <w:p>
      <w:pPr>
        <w:pStyle w:val="Heading2"/>
        <w:spacing w:after="120" w:before="260"/>
      </w:pPr>
      <w:r>
        <w:rPr>
          <w:b/>
          <w:bCs/>
          <w:color w:val="2E74B5"/>
          <w:sz w:val="24"/>
          <w:szCs w:val="24"/>
        </w:rPr>
        <w:t xml:space="preserve">5.3 Top Products by Category</w:t>
      </w:r>
    </w:p>
    <w:p>
      <w:pPr>
        <w:spacing w:after="160" w:line="300"/>
      </w:pPr>
      <w:r>
        <w:rPr>
          <w:color w:val="222222"/>
          <w:sz w:val="22"/>
          <w:szCs w:val="22"/>
        </w:rPr>
        <w:t xml:space="preserve">Ranking products within each category by net revenue (DENSE_RANK) identifies category leaders — e.g. Easy History leads Books at ₹24,162 — and also surfaces products with negative net revenue after discounts and returns (e.g. Range Sofa at −₹6,976 in Home), which are candidates for discount-policy review.</w:t>
      </w:r>
    </w:p>
    <w:p>
      <w:pPr>
        <w:pStyle w:val="Heading2"/>
        <w:spacing w:after="120" w:before="260"/>
      </w:pPr>
      <w:r>
        <w:rPr>
          <w:b/>
          <w:bCs/>
          <w:color w:val="2E74B5"/>
          <w:sz w:val="24"/>
          <w:szCs w:val="24"/>
        </w:rPr>
        <w:t xml:space="preserve">5.4 Product Affinity (Frequently Bought Together)</w:t>
      </w:r>
    </w:p>
    <w:p>
      <w:pPr>
        <w:spacing w:after="160" w:line="300"/>
      </w:pPr>
      <w:r>
        <w:rPr>
          <w:color w:val="222222"/>
          <w:sz w:val="22"/>
          <w:szCs w:val="22"/>
        </w:rPr>
        <w:t xml:space="preserve">A self-join across order_items identifies product pairs purchased in the same order. Most pairings in this dataset co-occur once, reflecting the dataset's small order-item volume (500 line items) rather than a strong basket pattern; on a production dataset with thousands of orders, the same query would surface actionable cross-sell bundles.</w:t>
      </w:r>
    </w:p>
    <w:p>
      <w:pPr>
        <w:pStyle w:val="Heading1"/>
        <w:pBdr>
          <w:bottom w:val="single" w:color="2E74B5" w:sz="8" w:space="4"/>
        </w:pBdr>
        <w:spacing w:after="160" w:before="360"/>
      </w:pPr>
      <w:r>
        <w:rPr>
          <w:b/>
          <w:bCs/>
          <w:color w:val="1F3864"/>
          <w:sz w:val="28"/>
          <w:szCs w:val="28"/>
        </w:rPr>
        <w:t xml:space="preserve">6. Recommendations</w:t>
      </w:r>
    </w:p>
    <w:p>
      <w:pPr>
        <w:pStyle w:val="ListParagraph"/>
        <w:numPr>
          <w:ilvl w:val="0"/>
          <w:numId w:val="2"/>
        </w:numPr>
        <w:spacing w:after="90"/>
      </w:pPr>
      <w:r>
        <w:rPr>
          <w:sz w:val="22"/>
          <w:szCs w:val="22"/>
        </w:rPr>
        <w:t xml:space="preserve">Prioritize a retention program for the top revenue quartile (Section 4.2–4.3), since a small group of customers drives a disproportionate share of revenue.</w:t>
      </w:r>
    </w:p>
    <w:p>
      <w:pPr>
        <w:pStyle w:val="ListParagraph"/>
        <w:numPr>
          <w:ilvl w:val="0"/>
          <w:numId w:val="2"/>
        </w:numPr>
        <w:spacing w:after="90"/>
      </w:pPr>
      <w:r>
        <w:rPr>
          <w:sz w:val="22"/>
          <w:szCs w:val="22"/>
        </w:rPr>
        <w:t xml:space="preserve">Launch a re-engagement trigger for customers flagged 'At Risk' (&gt;30-day average order gap) before they churn entirely.</w:t>
      </w:r>
    </w:p>
    <w:p>
      <w:pPr>
        <w:pStyle w:val="ListParagraph"/>
        <w:numPr>
          <w:ilvl w:val="0"/>
          <w:numId w:val="2"/>
        </w:numPr>
        <w:spacing w:after="90"/>
      </w:pPr>
      <w:r>
        <w:rPr>
          <w:sz w:val="22"/>
          <w:szCs w:val="22"/>
        </w:rPr>
        <w:t xml:space="preserve">Investigate Home category returns specifically — its 5.74% return rate is meaningfully above other categories and the underlying SKUs identified in Section 5.2 are a good starting point.</w:t>
      </w:r>
    </w:p>
    <w:p>
      <w:pPr>
        <w:pStyle w:val="ListParagraph"/>
        <w:numPr>
          <w:ilvl w:val="0"/>
          <w:numId w:val="2"/>
        </w:numPr>
        <w:spacing w:after="90"/>
      </w:pPr>
      <w:r>
        <w:rPr>
          <w:sz w:val="22"/>
          <w:szCs w:val="22"/>
        </w:rPr>
        <w:t xml:space="preserve">Review discount depth on consistently negative-net-revenue products (e.g. Range Sofa, Page Lamp) to confirm they aren't being discounted below profitability.</w:t>
      </w:r>
    </w:p>
    <w:p>
      <w:pPr>
        <w:pStyle w:val="ListParagraph"/>
        <w:numPr>
          <w:ilvl w:val="0"/>
          <w:numId w:val="2"/>
        </w:numPr>
        <w:spacing w:after="90"/>
      </w:pPr>
      <w:r>
        <w:rPr>
          <w:sz w:val="22"/>
          <w:szCs w:val="22"/>
        </w:rPr>
        <w:t xml:space="preserve">Build a first-30-days onboarding journey to lift early cohort repeat-purchase rates (Section 4.6).</w:t>
      </w:r>
    </w:p>
    <w:p>
      <w:pPr>
        <w:pStyle w:val="ListParagraph"/>
        <w:numPr>
          <w:ilvl w:val="0"/>
          <w:numId w:val="2"/>
        </w:numPr>
        <w:spacing w:after="90"/>
      </w:pPr>
      <w:r>
        <w:rPr>
          <w:sz w:val="22"/>
          <w:szCs w:val="22"/>
        </w:rPr>
        <w:t xml:space="preserve">Re-run this pipeline against a production order history (rather than the 500-row synthetic sample) to get statistically reliable seasonality, YoY, and basket-affinity signals.</w:t>
      </w:r>
    </w:p>
    <w:p>
      <w:pPr>
        <w:pStyle w:val="Heading1"/>
        <w:pBdr>
          <w:bottom w:val="single" w:color="2E74B5" w:sz="8" w:space="4"/>
        </w:pBdr>
        <w:spacing w:after="160" w:before="360"/>
      </w:pPr>
      <w:r>
        <w:rPr>
          <w:b/>
          <w:bCs/>
          <w:color w:val="1F3864"/>
          <w:sz w:val="28"/>
          <w:szCs w:val="28"/>
        </w:rPr>
        <w:t xml:space="preserve">7. Methodology &amp; Technical Notes</w:t>
      </w:r>
    </w:p>
    <w:p>
      <w:pPr>
        <w:spacing w:after="160" w:line="300"/>
      </w:pPr>
      <w:r>
        <w:rPr>
          <w:color w:val="222222"/>
          <w:sz w:val="22"/>
          <w:szCs w:val="22"/>
        </w:rPr>
        <w:t xml:space="preserve">Data was generated with Faker (seeded) and processed with pandas for cleaning, then loaded into a SQLite database for analysis. All revenue figures use the formula: quantity × unit_price × (1 − discount_percent/100), so figures are net of discounts and negative for return line items. Sixteen SQL queries were written covering aggregation, joins, subqueries, window functions (SUM OVER, DENSE_RANK, LAG, NTILE, FIRST_VALUE/LAST_VALUE), multi-level CTEs, cohort analysis, and self-joins. A parameterized Python + SQL reporting function generates ad-hoc sales summaries for a given date range, and four edge-case tests validate the pipeline's handling of invalid order references, out-of-range discounts, zero quantities, and future-dated orders — all four passed.</w:t>
      </w:r>
    </w:p>
    <w:p>
      <w:pPr>
        <w:spacing w:after="160" w:line="300"/>
      </w:pPr>
      <w:r>
        <w:rPr>
          <w:i/>
          <w:iCs/>
          <w:color w:val="595959"/>
          <w:sz w:val="22"/>
          <w:szCs w:val="22"/>
        </w:rPr>
        <w:t xml:space="preserve">Limitation: because the dataset is synthetically generated at small scale (500 rows per table) rather than sampled from real transactions, absolute figures (revenue, growth rates, cohort sizes) should not be interpreted as real business performance. The value of this project lies in the analytical methodology and query design, which is directly reusable against a production dataset of any size.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aps/>
        <w:color w:val="595959"/>
        <w:sz w:val="16"/>
        <w:szCs w:val="16"/>
      </w:rPr>
      <w:t xml:space="preserve">E-COMMERCE ORDER ANALYTICS — BUSINESS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2026-07-12T06:45:24.269Z</dcterms:created>
  <dcterms:modified xsi:type="dcterms:W3CDTF">2026-07-12T06:45:24.270Z</dcterms:modified>
</cp:coreProperties>
</file>

<file path=docProps/custom.xml><?xml version="1.0" encoding="utf-8"?>
<Properties xmlns="http://schemas.openxmlformats.org/officeDocument/2006/custom-properties" xmlns:vt="http://schemas.openxmlformats.org/officeDocument/2006/docPropsVTypes"/>
</file>