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Golden Fixture</w:t>
      </w:r>
    </w:p>
    <w:p>
      <w:pPr>
        <w:pStyle w:val="Heading1"/>
      </w:pPr>
      <w:r>
        <w:rPr>
          <w:lang w:val="en-US"/>
        </w:rPr>
        <w:t>Semantic Features</w:t>
      </w:r>
    </w:p>
    <w:p>
      <w:r>
        <w:rPr>
          <w:lang w:val="en-US"/>
        </w:rPr>
        <w:t>This paragraph contains a Spanish phrase.</w:t>
      </w:r>
    </w:p>
    <w:p>
      <w:r>
        <w:rPr>
          <w:lang w:val="es-MX"/>
        </w:rPr>
        <w:t>Información pública</w:t>
      </w:r>
    </w:p>
    <w:p>
      <w:pPr>
        <w:pStyle w:val="ListBullet"/>
        <w:numPr>
          <w:ilvl w:val="0"/>
          <w:numId w:val="1"/>
        </w:numPr>
      </w:pPr>
      <w:r>
        <w:rPr>
          <w:lang w:val="en-US"/>
        </w:rPr>
        <w:t>Nested list item one</w:t>
      </w:r>
    </w:p>
    <w:p>
      <w:pPr>
        <w:pStyle w:val="ListBullet"/>
        <w:numPr>
          <w:ilvl w:val="1"/>
          <w:numId w:val="1"/>
        </w:numPr>
      </w:pPr>
      <w:r>
        <w:rPr>
          <w:lang w:val="en-US"/>
        </w:rPr>
        <w:t>Nested list item one.a</w:t>
      </w:r>
    </w:p>
    <w:p>
      <w:pPr>
        <w:pStyle w:val="ListBullet"/>
        <w:numPr>
          <w:ilvl w:val="0"/>
          <w:numId w:val="1"/>
        </w:numPr>
      </w:pPr>
      <w:r>
        <w:rPr>
          <w:lang w:val="en-US"/>
        </w:rPr>
        <w:t>Nested list item two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ar chart showing enrollment increasing from 2021 to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Enrollment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Golden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