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headings 2</w:t>
      </w:r>
    </w:p>
    <w:p>
      <w:pPr>
        <w:pStyle w:val="Heading1"/>
      </w:pPr>
      <w:r>
        <w:rPr>
          <w:lang w:val="en-US"/>
        </w:rPr>
        <w:t>Overview</w:t>
      </w:r>
    </w:p>
    <w:p>
      <w:pPr>
        <w:pStyle w:val="Heading2"/>
      </w:pPr>
      <w:r>
        <w:rPr>
          <w:lang w:val="en-US"/>
        </w:rPr>
        <w:t>Context</w:t>
      </w:r>
    </w:p>
    <w:p>
      <w:pPr>
        <w:pStyle w:val="Heading3"/>
      </w:pPr>
      <w:r>
        <w:rPr>
          <w:lang w:val="en-US"/>
        </w:rPr>
        <w:t>Details</w:t>
      </w:r>
    </w:p>
    <w:p>
      <w:r>
        <w:rPr>
          <w:lang w:val="en-US"/>
        </w:rPr>
        <w:t>The heading hierarchy is separated from ordinary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headings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