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footnotes 2</w:t>
      </w:r>
    </w:p>
    <w:p>
      <w:r>
        <w:rPr>
          <w:lang w:val="en-US"/>
        </w:rPr>
        <w:t>The source contains a footnote reference for each declared note.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footnoteReference w:id="1"/>
      </w:r>
    </w:p>
    <w:p>
      <w:r>
        <w:footnoteReference w:id="2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id="-1">
    <w:p>
      <w:r>
        <w:separator/>
      </w:r>
    </w:p>
  </w:footnote>
  <w:footnote w:id="0">
    <w:p>
      <w:r>
        <w:continuationSeparator/>
      </w:r>
    </w:p>
  </w:footnote>
  <w:footnote w:id="1">
    <w:p>
      <w:r>
        <w:footnoteRef/>
      </w:r>
      <w:r>
        <w:t> First note.</w:t>
      </w:r>
    </w:p>
  </w:footnote>
  <w:footnote w:id="2">
    <w:p>
      <w:r>
        <w:footnoteRef/>
      </w:r>
      <w:r>
        <w:t> Second note.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footnotes 2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