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en-US"/>
        </w:rPr>
        <w:t>Accessible Learning Handout: Reading Evidence in Public Reports</w:t>
      </w:r>
    </w:p>
    <w:p>
      <w:r>
        <w:rPr>
          <w:lang w:val="en-US"/>
        </w:rPr>
        <w:t>An academic handout for a short course on evidence, interpretation, and inclusive communication.</w:t>
      </w:r>
    </w:p>
    <w:p>
      <w:pPr>
        <w:pStyle w:val="Heading1"/>
      </w:pPr>
      <w:r>
        <w:rPr>
          <w:lang w:val="en-US"/>
        </w:rPr>
        <w:t>Learning goals</w:t>
      </w:r>
    </w:p>
    <w:p>
      <w:r>
        <w:rPr>
          <w:lang w:val="en-US"/>
        </w:rPr>
        <w:t>By the end of the session, learners should be able to distinguish an observation from an interpretation, identify the structure that carries an author’s meaning, and explain why a converted document may require a second inspection.</w:t>
      </w:r>
    </w:p>
    <w:p>
      <w:r>
        <w:rPr>
          <w:lang w:val="en-US"/>
        </w:rPr>
        <w:t>The handout uses a short bilingual example because language changes are part of document meaning. The foreign-language phrase is intentionally marked in the source document rather than treated as decoration.</w:t>
      </w:r>
    </w:p>
    <w:p>
      <w:r>
        <w:rPr>
          <w:lang w:val="en-US"/>
        </w:rPr>
        <w:t xml:space="preserve">The example greeting is </w:t>
      </w:r>
      <w:r>
        <w:rPr>
          <w:lang w:val="es-MX"/>
        </w:rPr>
        <w:t>Buenos días</w:t>
      </w:r>
      <w:r>
        <w:rPr>
          <w:lang w:val="en-US"/>
        </w:rPr>
        <w:t xml:space="preserve"> before the discussion begins.</w:t>
      </w:r>
    </w:p>
    <w:p>
      <w:pPr>
        <w:pStyle w:val="Heading1"/>
      </w:pPr>
      <w:r>
        <w:rPr>
          <w:lang w:val="en-US"/>
        </w:rPr>
        <w:t>Reading sequence</w:t>
      </w:r>
    </w:p>
    <w:p>
      <w:pPr>
        <w:pStyle w:val="ListNumber"/>
        <w:ind w:left="0"/>
        <w:numPr>
          <w:ilvl w:val="0"/>
          <w:numId w:val="1"/>
        </w:numPr>
      </w:pPr>
      <w:r>
        <w:rPr>
          <w:lang w:val="en-US"/>
        </w:rPr>
        <w:t>Identify the claim.</w:t>
      </w:r>
    </w:p>
    <w:p>
      <w:pPr>
        <w:pStyle w:val="ListNumber"/>
        <w:ind w:left="0"/>
        <w:numPr>
          <w:ilvl w:val="0"/>
          <w:numId w:val="1"/>
        </w:numPr>
      </w:pPr>
      <w:r>
        <w:rPr>
          <w:lang w:val="en-US"/>
        </w:rPr>
        <w:t>Locate the evidence.</w:t>
      </w:r>
    </w:p>
    <w:p>
      <w:pPr>
        <w:pStyle w:val="ListNumber"/>
        <w:ind w:left="360"/>
        <w:numPr>
          <w:ilvl w:val="1"/>
          <w:numId w:val="1"/>
        </w:numPr>
      </w:pPr>
      <w:r>
        <w:rPr>
          <w:lang w:val="en-US"/>
        </w:rPr>
        <w:t>Check the relationship between evidence and conclusion.</w:t>
      </w:r>
    </w:p>
    <w:p>
      <w:pPr>
        <w:pStyle w:val="ListNumber"/>
        <w:ind w:left="360"/>
        <w:numPr>
          <w:ilvl w:val="1"/>
          <w:numId w:val="1"/>
        </w:numPr>
      </w:pPr>
      <w:r>
        <w:rPr>
          <w:lang w:val="en-US"/>
        </w:rPr>
        <w:t>Record uncertainty instead of filling it with assumption.</w:t>
      </w:r>
    </w:p>
    <w:p>
      <w:pPr>
        <w:pStyle w:val="ListNumber"/>
        <w:ind w:left="0"/>
        <w:numPr>
          <w:ilvl w:val="0"/>
          <w:numId w:val="1"/>
        </w:numPr>
      </w:pPr>
      <w:r>
        <w:rPr>
          <w:lang w:val="en-US"/>
        </w:rPr>
        <w:t>Explain the result to another reader.</w:t>
      </w:r>
    </w:p>
    <w:p>
      <w:pPr>
        <w:pStyle w:val="Heading1"/>
      </w:pPr>
      <w:r>
        <w:rPr>
          <w:lang w:val="en-US"/>
        </w:rPr>
        <w:t>A compact model</w:t>
      </w:r>
    </w:p>
    <w:p>
      <w:r>
        <w:rPr>
          <w:lang w:val="en-US"/>
        </w:rPr>
        <w:t>The following expression is included as a native equation so that the mathematical relationship is part of the document structure.</w:t>
      </w:r>
    </w:p>
    <w:p>
      <w:pPr>
        <w:jc w:val="center"/>
      </w:pPr>
      <m:oMathPara>
        <m:oMath>
          <m:r>
            <m:t>E</m:t>
          </m:r>
          <m:r>
            <m:t>=</m:t>
          </m:r>
          <m:r>
            <m:t>m</m:t>
          </m:r>
          <m:sSup>
            <m:e>
              <m:r>
                <m:t>c</m:t>
              </m:r>
            </m:e>
            <m:sup>
              <m:r>
                <m:t>2</m:t>
              </m:r>
            </m:sup>
          </m:sSup>
        </m:oMath>
      </m:oMathPara>
    </w:p>
    <w:p>
      <w:pPr>
        <w:pStyle w:val="Caption"/>
      </w:pPr>
      <w:r>
        <w:rPr>
          <w:lang w:val="en-US"/>
        </w:rPr>
        <w:t>Equation 1. A compact expression used in the classroom example.</w:t>
      </w:r>
    </w:p>
    <w:p>
      <w:pPr>
        <w:pStyle w:val="Heading1"/>
      </w:pPr>
      <w:r>
        <w:rPr>
          <w:lang w:val="en-US"/>
        </w:rPr>
        <w:t>Case discussion</w:t>
      </w:r>
    </w:p>
    <w:p>
      <w:r>
        <w:rPr>
          <w:lang w:val="en-US"/>
        </w:rPr>
        <w:t>A reader may find the same idea in a paragraph, a table, a figure, or a note. The representation changes, but the contract is still about the relationship that the author deliberately supplied.</w:t>
      </w:r>
    </w:p>
    <w:p>
      <w:r>
        <w:rPr>
          <w:lang w:val="en-US"/>
        </w:rPr>
        <w:t>When a document is converted, visible text alone may survive while the structure that identifies a relationship does not. The class therefore compares both content and machine-verifiable structure.</w:t>
      </w:r>
    </w:p>
    <w:p>
      <w:r>
        <w:rPr>
          <w:lang w:val="en-US"/>
        </w:rPr>
        <w:t>The handout uses an explicit footnote to identify the source of the classroom example.</w:t>
      </w:r>
      <w:r>
        <w:footnoteReference w:id="1"/>
      </w:r>
    </w:p>
    <w:p>
      <w:pPr>
        <w:pStyle w:val="Heading1"/>
      </w:pPr>
      <w:r>
        <w:rPr>
          <w:lang w:val="en-US"/>
        </w:rPr>
        <w:t>Figure and caption</w:t>
      </w:r>
    </w:p>
    <w:p>
      <w:r>
        <w:rPr>
          <w:lang w:val="en-US"/>
        </w:rPr>
        <w:t>The figure gives the class a visual summary; the caption states what the figure is intended to communicate.</w:t>
      </w:r>
    </w:p>
    <w:p>
      <w:pPr>
        <w:jc w:val="center"/>
      </w:pPr>
      <w:r>
        <w:drawing>
          <wp:inline xmlns:a="http://schemas.openxmlformats.org/drawingml/2006/main" xmlns:pic="http://schemas.openxmlformats.org/drawingml/2006/picture">
            <wp:extent cx="2194560" cy="2194560"/>
            <wp:docPr id="1" name="Picture 1" descr="A classroom diagram showing evidence connected to a conclusion." title="Evidence diagram"/>
            <wp:cNvGraphicFramePr>
              <a:graphicFrameLocks noChangeAspect="1"/>
            </wp:cNvGraphicFramePr>
            <a:graphic>
              <a:graphicData uri="http://schemas.openxmlformats.org/drawingml/2006/picture">
                <pic:pic>
                  <pic:nvPicPr>
                    <pic:cNvPr id="0" name="fixture.png"/>
                    <pic:cNvPicPr/>
                  </pic:nvPicPr>
                  <pic:blipFill>
                    <a:blip r:embed="rId10"/>
                    <a:stretch>
                      <a:fillRect/>
                    </a:stretch>
                  </pic:blipFill>
                  <pic:spPr>
                    <a:xfrm>
                      <a:off x="0" y="0"/>
                      <a:ext cx="2194560" cy="2194560"/>
                    </a:xfrm>
                    <a:prstGeom prst="rect"/>
                  </pic:spPr>
                </pic:pic>
              </a:graphicData>
            </a:graphic>
          </wp:inline>
        </w:drawing>
      </w:r>
    </w:p>
    <w:p>
      <w:pPr>
        <w:pStyle w:val="Caption"/>
      </w:pPr>
      <w:r>
        <w:rPr>
          <w:lang w:val="en-US"/>
        </w:rPr>
        <w:t>Figure 1. Evidence and conclusion are connected through an explicit reasoning step.</w:t>
      </w:r>
    </w:p>
    <w:p>
      <w:r>
        <w:rPr>
          <w:lang w:val="en-US"/>
        </w:rPr>
        <w:t xml:space="preserve">Further reading is listed in the </w:t>
      </w:r>
      <w:hyperlink r:id="rId11">
        <w:r>
          <w:rPr>
            <w:color w:val="0000FF"/>
            <w:u w:val="single"/>
          </w:rPr>
          <w:t>accessibility standards overview</w:t>
        </w:r>
      </w:hyperlink>
    </w:p>
    <w:p>
      <w:r>
        <w:rPr>
          <w:lang w:val="en-US"/>
        </w:rPr>
        <w:t>The final exercise asks students to describe what is known, what is not known, and what additional evidence would be needed. That discipline is part of accessible communication because it prevents readers from mistaking an uncertain representation for a confirmed one.</w:t>
      </w:r>
    </w:p>
    <w:p>
      <w:r>
        <w:rPr>
          <w:lang w:val="en-US"/>
        </w:rPr>
        <w:t>The handout ends with a short reflection: Which parts of the source meaning are carried by words, and which parts are carried by structure?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r>
        <w:footnoteRef/>
      </w:r>
      <w:r>
        <w:t> This note identifies the source used for the classroom example.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image" Target="media/image1.png"/><Relationship Id="rId11"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Learning Handout: Reading Evidence in Public Reports</dc:title>
  <dc:subject>A11yPreserve integrated external-validity sanity check</dc:subject>
  <dc:creator>A11yPreserve benchmark</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