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Accessible Learning Handout: Reading Evidence in Public Reports</w:t>
      </w:r>
    </w:p>
    <w:p>
      <w:r>
        <w:rPr>
          <w:lang w:val="en-US"/>
        </w:rPr>
        <w:t>An academic handout for a short course on evidence, interpretation, and inclusive communication.</w:t>
      </w:r>
    </w:p>
    <w:p>
      <w:pPr>
        <w:pStyle w:val="Heading1"/>
      </w:pPr>
      <w:r>
        <w:rPr>
          <w:lang w:val="en-US"/>
        </w:rPr>
        <w:t>Learning goals</w:t>
      </w:r>
    </w:p>
    <w:p>
      <w:r>
        <w:rPr>
          <w:lang w:val="en-US"/>
        </w:rPr>
        <w:t>By the end of the session, learners should be able to distinguish an observation from an interpretation, identify the structure that carries an author’s meaning, and explain why a converted document may require a second inspection.</w:t>
      </w:r>
    </w:p>
    <w:p>
      <w:r>
        <w:rPr>
          <w:lang w:val="en-US"/>
        </w:rPr>
        <w:t>The handout uses a short bilingual example because language changes are part of document meaning. The foreign-language phrase is intentionally marked in the source document rather than treated as decoration.</w:t>
      </w:r>
    </w:p>
    <w:p>
      <w:r>
        <w:rPr>
          <w:lang w:val="en-US"/>
        </w:rPr>
        <w:t xml:space="preserve">The example greeting is </w:t>
      </w:r>
      <w:r>
        <w:rPr>
          <w:lang w:val="es-MX"/>
        </w:rPr>
        <w:t>Buenos días</w:t>
      </w:r>
      <w:r>
        <w:rPr>
          <w:lang w:val="en-US"/>
        </w:rPr>
        <w:t xml:space="preserve"> before the discussion begins.</w:t>
      </w:r>
    </w:p>
    <w:p>
      <w:pPr>
        <w:pStyle w:val="Heading1"/>
      </w:pPr>
      <w:r>
        <w:rPr>
          <w:lang w:val="en-US"/>
        </w:rPr>
        <w:t>Reading sequence</w:t>
      </w:r>
    </w:p>
    <w:p>
      <w:pPr>
        <w:pStyle w:val="ListNumber"/>
        <w:ind w:left="0"/>
        <w:numPr>
          <w:ilvl w:val="0"/>
          <w:numId w:val="1"/>
        </w:numPr>
      </w:pPr>
      <w:r>
        <w:rPr>
          <w:lang w:val="en-US"/>
        </w:rPr>
        <w:t>Identify the claim.</w:t>
      </w:r>
    </w:p>
    <w:p>
      <w:pPr>
        <w:pStyle w:val="ListNumber"/>
        <w:ind w:left="0"/>
        <w:numPr>
          <w:ilvl w:val="0"/>
          <w:numId w:val="1"/>
        </w:numPr>
      </w:pPr>
      <w:r>
        <w:rPr>
          <w:lang w:val="en-US"/>
        </w:rPr>
        <w:t>Locate the evidence.</w:t>
      </w:r>
    </w:p>
    <w:p>
      <w:pPr>
        <w:pStyle w:val="ListNumber"/>
        <w:ind w:left="360"/>
        <w:numPr>
          <w:ilvl w:val="1"/>
          <w:numId w:val="1"/>
        </w:numPr>
      </w:pPr>
      <w:r>
        <w:rPr>
          <w:lang w:val="en-US"/>
        </w:rPr>
        <w:t>Check the relationship between evidence and conclusion.</w:t>
      </w:r>
    </w:p>
    <w:p>
      <w:pPr>
        <w:pStyle w:val="ListNumber"/>
        <w:ind w:left="360"/>
        <w:numPr>
          <w:ilvl w:val="1"/>
          <w:numId w:val="1"/>
        </w:numPr>
      </w:pPr>
      <w:r>
        <w:rPr>
          <w:lang w:val="en-US"/>
        </w:rPr>
        <w:t>Record uncertainty instead of filling it with assumption.</w:t>
      </w:r>
    </w:p>
    <w:p>
      <w:pPr>
        <w:pStyle w:val="ListNumber"/>
        <w:ind w:left="0"/>
        <w:numPr>
          <w:ilvl w:val="0"/>
          <w:numId w:val="1"/>
        </w:numPr>
      </w:pPr>
      <w:r>
        <w:rPr>
          <w:lang w:val="en-US"/>
        </w:rPr>
        <w:t>Explain the result to another reader.</w:t>
      </w:r>
    </w:p>
    <w:p>
      <w:pPr>
        <w:pStyle w:val="Heading1"/>
      </w:pPr>
      <w:r>
        <w:rPr>
          <w:lang w:val="en-US"/>
        </w:rPr>
        <w:t>A compact model</w:t>
      </w:r>
    </w:p>
    <w:p>
      <w:r>
        <w:rPr>
          <w:lang w:val="en-US"/>
        </w:rPr>
        <w:t>The following expression is included as a native equation so that the mathematical relationship is part of the document structure.</w:t>
      </w:r>
    </w:p>
    <w:p>
      <w:pPr>
        <w:jc w:val="center"/>
      </w:pPr>
      <m:oMathPara>
        <m:oMath>
          <m:r>
            <m:t>E</m:t>
          </m:r>
          <m: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"/>
      </w:pPr>
      <w:r>
        <w:rPr>
          <w:lang w:val="en-US"/>
        </w:rPr>
        <w:t>Equation 1. A compact expression used in the classroom example.</w:t>
      </w:r>
    </w:p>
    <w:p>
      <w:pPr>
        <w:pStyle w:val="Heading1"/>
      </w:pPr>
      <w:r>
        <w:rPr>
          <w:lang w:val="en-US"/>
        </w:rPr>
        <w:t>Case discussion</w:t>
      </w:r>
    </w:p>
    <w:p>
      <w:r>
        <w:rPr>
          <w:lang w:val="en-US"/>
        </w:rPr>
        <w:t>A reader may find the same idea in a paragraph, a table, a figure, or a note. The representation changes, but the contract is still about the relationship that the author deliberately supplied.</w:t>
      </w:r>
    </w:p>
    <w:p>
      <w:r>
        <w:rPr>
          <w:lang w:val="en-US"/>
        </w:rPr>
        <w:t>When a document is converted, visible text alone may survive while the structure that identifies a relationship does not. The class therefore compares both content and machine-verifiable structure.</w:t>
      </w:r>
    </w:p>
    <w:p>
      <w:r>
        <w:rPr>
          <w:lang w:val="en-US"/>
        </w:rPr>
        <w:t>The handout uses an explicit footnote to identify the source of the classroom example.</w:t>
      </w:r>
      <w:r>
        <w:footnoteReference w:id="1"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This note identifies the source used for the classroom example.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 Learning Handout: Reading Evidence in Public Reports</dc:title>
  <dc:subject>A11yPreserve integrated external-validity sanity check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