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Accessible Research Brief</w:t>
      </w:r>
    </w:p>
    <w:p>
      <w:r>
        <w:rPr>
          <w:lang w:val="en-US"/>
        </w:rPr>
        <w:t>The visible title and core document title identify the same research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Accessible Research Brief</dc:title>
  <dc:subject>Controlled document identity metadata</dc:subject>
  <dc:creator>A11yPreserve benchmark</dc:creator>
  <cp:keywords>accessibility, conversion, preservation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