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Equation Fixture</w:t>
      </w:r>
    </w:p>
    <w:p>
      <w:r>
        <w:rPr>
          <w:lang w:val="en-US"/>
        </w:rPr>
        <w:t>The fixture contains a native OMML equation rather than an image substitute.</w:t>
      </w:r>
    </w:p>
    <w:p>
      <w:pPr>
        <w:jc w:val="center"/>
      </w:pPr>
      <m:oMathPara>
        <m:oMath>
          <m:r>
            <m:t>E</m:t>
          </m:r>
          <m: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Equation Fixture</dc:title>
  <dc:subject>A11yPreserve Phase 4 controlled benchmark fixture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