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en-US"/>
        </w:rPr>
        <w:t>Community Access Report: Service Improvements and Next Steps</w:t>
      </w:r>
    </w:p>
    <w:p>
      <w:r>
        <w:rPr>
          <w:lang w:val="en-US"/>
        </w:rPr>
        <w:t>Prepared for the Community Access Office | Reporting period: 2025</w:t>
      </w:r>
    </w:p>
    <w:p>
      <w:pPr>
        <w:pStyle w:val="Heading1"/>
      </w:pPr>
      <w:r>
        <w:rPr>
          <w:lang w:val="en-US"/>
        </w:rPr>
        <w:t>Executive summary</w:t>
      </w:r>
    </w:p>
    <w:p>
      <w:r>
        <w:rPr>
          <w:lang w:val="en-US"/>
        </w:rPr>
        <w:t>This report describes a small accessibility-preservation review for a public-service program. It records the intended structure before publication so that later format conversion can be checked against the authoring contract.</w:t>
      </w:r>
    </w:p>
    <w:p>
      <w:r>
        <w:rPr>
          <w:lang w:val="en-US"/>
        </w:rPr>
        <w:t>The review team combines narrative explanation with structured findings. Headings divide the report into purpose, evidence, findings, and next steps; the table gives readers a compact way to compare the same measures across reporting periods.</w:t>
      </w:r>
    </w:p>
    <w:p>
      <w:r>
        <w:rPr>
          <w:lang w:val="en-US"/>
        </w:rPr>
        <w:t>The document is designed for readers who may navigate by headings, lists, tables, links, and image alternatives. Those features are present as authored document information rather than being inferred only from visual appearance.</w:t>
      </w:r>
    </w:p>
    <w:p>
      <w:pPr>
        <w:pStyle w:val="Heading1"/>
      </w:pPr>
      <w:r>
        <w:rPr>
          <w:lang w:val="en-US"/>
        </w:rPr>
        <w:t>What changed this year</w:t>
      </w:r>
    </w:p>
    <w:p>
      <w:pPr>
        <w:pStyle w:val="Heading2"/>
      </w:pPr>
      <w:r>
        <w:rPr>
          <w:lang w:val="en-US"/>
        </w:rPr>
        <w:t>Service access</w:t>
      </w:r>
    </w:p>
    <w:p>
      <w:r>
        <w:rPr>
          <w:lang w:val="en-US"/>
        </w:rPr>
        <w:t>The office expanded appointment hours, simplified intake language, and published a single contact route for questions. Staff reviewed the changes with community partners and recorded follow-up actions in the service log.</w:t>
      </w:r>
    </w:p>
    <w:p>
      <w:r>
        <w:rPr>
          <w:lang w:val="en-US"/>
        </w:rPr>
        <w:t>The most useful indicator is not the number of redesigned pages by itself. It is whether people can locate the right service, understand the next step, and use the information in the format that was delivered.</w:t>
      </w:r>
    </w:p>
    <w:p>
      <w:pPr>
        <w:pStyle w:val="Heading2"/>
      </w:pPr>
      <w:r>
        <w:rPr>
          <w:lang w:val="en-US"/>
        </w:rPr>
        <w:t>Community feedback</w:t>
      </w:r>
    </w:p>
    <w:p>
      <w:pPr>
        <w:pStyle w:val="ListBullet"/>
        <w:ind w:left="0"/>
        <w:numPr>
          <w:ilvl w:val="0"/>
          <w:numId w:val="1"/>
        </w:numPr>
      </w:pPr>
      <w:r>
        <w:rPr>
          <w:lang w:val="en-US"/>
        </w:rPr>
        <w:t>Keep the appointment checklist close to the service description.</w:t>
      </w:r>
    </w:p>
    <w:p>
      <w:pPr>
        <w:pStyle w:val="ListBullet"/>
        <w:ind w:left="0"/>
        <w:numPr>
          <w:ilvl w:val="0"/>
          <w:numId w:val="1"/>
        </w:numPr>
      </w:pPr>
      <w:r>
        <w:rPr>
          <w:lang w:val="en-US"/>
        </w:rPr>
        <w:t>Explain required documents before the first visit.</w:t>
      </w:r>
    </w:p>
    <w:p>
      <w:pPr>
        <w:pStyle w:val="ListBullet"/>
        <w:ind w:left="360"/>
        <w:numPr>
          <w:ilvl w:val="1"/>
          <w:numId w:val="1"/>
        </w:numPr>
      </w:pPr>
      <w:r>
        <w:rPr>
          <w:lang w:val="en-US"/>
        </w:rPr>
        <w:t>Offer a direct route for language and format requests.</w:t>
      </w:r>
    </w:p>
    <w:p>
      <w:pPr>
        <w:pStyle w:val="ListBullet"/>
        <w:ind w:left="360"/>
        <w:numPr>
          <w:ilvl w:val="1"/>
          <w:numId w:val="1"/>
        </w:numPr>
      </w:pPr>
      <w:r>
        <w:rPr>
          <w:lang w:val="en-US"/>
        </w:rPr>
        <w:t>Publish contact hours in the same place as the telephone number.</w:t>
      </w:r>
    </w:p>
    <w:p>
      <w:pPr>
        <w:pStyle w:val="ListBullet"/>
        <w:ind w:left="0"/>
        <w:numPr>
          <w:ilvl w:val="0"/>
          <w:numId w:val="1"/>
        </w:numPr>
      </w:pPr>
      <w:r>
        <w:rPr>
          <w:lang w:val="en-US"/>
        </w:rPr>
        <w:t>Review the checklist after each quarterly update.</w:t>
      </w:r>
    </w:p>
    <w:p>
      <w:pPr>
        <w:pStyle w:val="Heading1"/>
      </w:pPr>
      <w:r>
        <w:rPr>
          <w:lang w:val="en-US"/>
        </w:rPr>
        <w:t>Measures</w:t>
      </w:r>
    </w:p>
    <w:p>
      <w:r>
        <w:rPr>
          <w:lang w:val="en-US"/>
        </w:rPr>
        <w:t>Table 1. Service access measures.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tcPr>
          <w:p>
            <w:r>
              <w:t>Measure</w:t>
            </w:r>
          </w:p>
        </w:tc>
        <w:tc>
          <w:tcPr>
            <w:tcW w:type="dxa" w:w="3312"/>
          </w:tcPr>
          <w:p>
            <w:r>
              <w:t>2024</w:t>
            </w:r>
          </w:p>
        </w:tc>
        <w:tc>
          <w:tcPr>
            <w:tcW w:type="dxa" w:w="3312"/>
          </w:tcPr>
          <w:p>
            <w:r>
              <w:t>2025</w:t>
            </w:r>
          </w:p>
        </w:tc>
      </w:tr>
      <w:tr>
        <w:tc>
          <w:tcPr>
            <w:tcW w:type="dxa" w:w="3312"/>
          </w:tcPr>
          <w:p>
            <w:r>
              <w:t>Completed appointments</w:t>
            </w:r>
          </w:p>
        </w:tc>
        <w:tc>
          <w:tcPr>
            <w:tcW w:type="dxa" w:w="3312"/>
          </w:tcPr>
          <w:p>
            <w:r>
              <w:t>1,240</w:t>
            </w:r>
          </w:p>
        </w:tc>
        <w:tc>
          <w:tcPr>
            <w:tcW w:type="dxa" w:w="3312"/>
          </w:tcPr>
          <w:p>
            <w:r>
              <w:t>1,486</w:t>
            </w:r>
          </w:p>
        </w:tc>
      </w:tr>
      <w:tr>
        <w:tc>
          <w:tcPr>
            <w:tcW w:type="dxa" w:w="3312"/>
          </w:tcPr>
          <w:p>
            <w:r>
              <w:t>Average wait days</w:t>
            </w:r>
          </w:p>
        </w:tc>
        <w:tc>
          <w:tcPr>
            <w:tcW w:type="dxa" w:w="3312"/>
          </w:tcPr>
          <w:p>
            <w:r>
              <w:t>8</w:t>
            </w:r>
          </w:p>
        </w:tc>
        <w:tc>
          <w:tcPr>
            <w:tcW w:type="dxa" w:w="3312"/>
          </w:tcPr>
          <w:p>
            <w:r>
              <w:t>5</w:t>
            </w:r>
          </w:p>
        </w:tc>
      </w:tr>
      <w:tr>
        <w:tc>
          <w:tcPr>
            <w:tcW w:type="dxa" w:w="3312"/>
          </w:tcPr>
          <w:p>
            <w:r>
              <w:t>Follow-up requests</w:t>
            </w:r>
          </w:p>
        </w:tc>
        <w:tc>
          <w:tcPr>
            <w:tcW w:type="dxa" w:w="3312"/>
          </w:tcPr>
          <w:p>
            <w:r>
              <w:t>164</w:t>
            </w:r>
          </w:p>
        </w:tc>
        <w:tc>
          <w:tcPr>
            <w:tcW w:type="dxa" w:w="3312"/>
          </w:tcPr>
          <w:p>
            <w:r>
              <w:t>139</w:t>
            </w:r>
          </w:p>
        </w:tc>
      </w:tr>
    </w:tbl>
    <w:p>
      <w:pPr>
        <w:pStyle w:val="Heading1"/>
      </w:pPr>
      <w:r>
        <w:rPr>
          <w:lang w:val="en-US"/>
        </w:rPr>
        <w:t>Visual evidence</w:t>
      </w:r>
    </w:p>
    <w:p>
      <w:r>
        <w:rPr>
          <w:lang w:val="en-US"/>
        </w:rPr>
        <w:t>The figure summarizes the direction of the reporting trend and is accompanied by an author-written alternative description.</w:t>
      </w:r>
    </w:p>
    <w:p>
      <w:pPr>
        <w:jc w:val="center"/>
      </w:pPr>
      <w:r>
        <w:drawing>
          <wp:inline xmlns:a="http://schemas.openxmlformats.org/drawingml/2006/main" xmlns:pic="http://schemas.openxmlformats.org/drawingml/2006/picture">
            <wp:extent cx="2194560" cy="2194560"/>
            <wp:docPr id="1" name="Picture 1" descr="A simple upward trend showing completed appointments increasing from 2024 to 2025." title="Appointments trend"/>
            <wp:cNvGraphicFramePr>
              <a:graphicFrameLocks noChangeAspect="1"/>
            </wp:cNvGraphicFramePr>
            <a:graphic>
              <a:graphicData uri="http://schemas.openxmlformats.org/drawingml/2006/picture">
                <pic:pic>
                  <pic:nvPicPr>
                    <pic:cNvPr id="0" name="fixture.png"/>
                    <pic:cNvPicPr/>
                  </pic:nvPicPr>
                  <pic:blipFill>
                    <a:blip r:embed="rId9"/>
                    <a:stretch>
                      <a:fillRect/>
                    </a:stretch>
                  </pic:blipFill>
                  <pic:spPr>
                    <a:xfrm>
                      <a:off x="0" y="0"/>
                      <a:ext cx="2194560" cy="2194560"/>
                    </a:xfrm>
                    <a:prstGeom prst="rect"/>
                  </pic:spPr>
                </pic:pic>
              </a:graphicData>
            </a:graphic>
          </wp:inline>
        </w:drawing>
      </w:r>
    </w:p>
    <w:p>
      <w:pPr>
        <w:pStyle w:val="Caption"/>
      </w:pPr>
      <w:r>
        <w:rPr>
          <w:lang w:val="en-US"/>
        </w:rPr>
        <w:t>Figure 1. Completed appointments increased during the reporting period.</w:t>
      </w:r>
    </w:p>
    <w:p>
      <w:r>
        <w:rPr>
          <w:lang w:val="en-US"/>
        </w:rPr>
        <w:t xml:space="preserve">The public service guidance is available in the </w:t>
      </w:r>
      <w:hyperlink r:id="rId10">
        <w:r>
          <w:rPr>
            <w:color w:val="0000FF"/>
            <w:u w:val="single"/>
          </w:rPr>
          <w:t>community access handbook</w:t>
        </w:r>
      </w:hyperlink>
    </w:p>
    <w:p>
      <w:pPr>
        <w:pStyle w:val="Heading1"/>
      </w:pPr>
      <w:r>
        <w:rPr>
          <w:lang w:val="en-US"/>
        </w:rPr>
        <w:t>Next steps</w:t>
      </w:r>
    </w:p>
    <w:p>
      <w:r>
        <w:rPr>
          <w:lang w:val="en-US"/>
        </w:rPr>
        <w:t>The next reporting cycle will retain the same headings and measure definitions so that changes can be compared without losing the context of the earlier report.</w:t>
      </w:r>
    </w:p>
    <w:p>
      <w:r>
        <w:rPr>
          <w:lang w:val="en-US"/>
        </w:rPr>
        <w:t>Managers should confirm that the published document, its downloadable copy, and any converted PDF retain the information that was intentionally supplied for accessibility.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w3.org/WAI/standards-guidelines/w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Access Report: Service Improvements and Next Steps</dc:title>
  <dc:subject>A11yPreserve integrated external-validity sanity check</dc:subject>
  <dc:creator>A11yPreserve benchmark</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