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Variant B11 footnotes</w:t>
      </w:r>
    </w:p>
    <w:p>
      <w:r>
        <w:rPr>
          <w:lang w:val="en-US"/>
        </w:rPr>
        <w:t>The first claim carries note one, and the second carries note two.</w:t>
      </w:r>
      <w:r>
        <w:footnoteReference w:id="2"/>
      </w:r>
      <w:r>
        <w:footnote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-1">
    <w:p>
      <w:r>
        <w:separator/>
      </w:r>
    </w:p>
  </w:footnote>
  <w:footnote w:id="0">
    <w:p>
      <w:r>
        <w:continuationSeparator/>
      </w:r>
    </w:p>
  </w:footnote>
  <w:footnote w:id="1">
    <w:p>
      <w:r>
        <w:footnoteRef/>
      </w:r>
      <w:r>
        <w:t> First variant note.</w:t>
      </w:r>
    </w:p>
  </w:footnote>
  <w:footnote w:id="2">
    <w:p>
      <w:r>
        <w:footnoteRef/>
      </w:r>
      <w:r>
        <w:t> Second variant note.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Variant B11 footnotes</dc:title>
  <dc:subject/>
  <dc:creator>A11yPreserve variant 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