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Footnote Fixture</w:t>
      </w:r>
    </w:p>
    <w:p>
      <w:r>
        <w:rPr>
          <w:lang w:val="en-US"/>
        </w:rPr>
        <w:t>The benchmark uses an explicit footnote association.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This note records the source-to-note association.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Footnote Fixture</dc:title>
  <dc:subject>A11yPreserve Phase 4 controlled benchmark fixture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