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lang w:val="en-US"/>
        </w:rPr>
        <w:t>A11yPreserve Alternative Text Fixture</w:t>
      </w:r>
    </w:p>
    <w:p>
      <w:r>
        <w:rPr>
          <w:lang w:val="en-US"/>
        </w:rPr>
        <w:t>Enrollment is reported across three academic years in the chart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" name="Picture 1" descr="Bar chart showing enrollment increasing from 120 students in 2024 to 180 students in 2026." title="Enrollment 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alt_tex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en-US"/>
        </w:rPr>
        <w:t>The visual summarizes the reported trend without repeating its complete alternative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Alternative Text Fixture</dc:title>
  <dc:subject>A11yPreserve controlled accessibility fixture</dc:subject>
  <dc:creator>A11yPreserve 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