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A11yPreserve Complex Table Fixture</w:t>
      </w:r>
    </w:p>
    <w:p>
      <w:r>
        <w:rPr>
          <w:lang w:val="en-US"/>
        </w:rPr>
        <w:t>The first two rows are headers. The first row groups the two enrollment columns.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5760"/>
            <w:gridSpan w:val="2"/>
          </w:tcPr>
          <w:p>
            <w:r>
              <w:t>Enrollment</w:t>
            </w:r>
          </w:p>
        </w:tc>
        <w:tc>
          <w:tcPr>
            <w:tcW w:type="dxa" w:w="2880"/>
          </w:tcPr>
          <w:p>
            <w:r>
              <w:t>Outcome</w:t>
            </w:r>
          </w:p>
        </w:tc>
      </w:tr>
      <w:tr>
        <w:trPr>
          <w:tblHeader w:val="true"/>
        </w:trP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Students</w:t>
            </w:r>
          </w:p>
        </w:tc>
        <w:tc>
          <w:tcPr>
            <w:tcW w:type="dxa" w:w="2880"/>
          </w:tcPr>
          <w:p>
            <w:r>
              <w:t>Completion Rate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82%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87%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91%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A11yPreserve Complex Table Fixture</dc:title>
  <dc:subject>A11yPreserve Phase 4 controlled benchmark fixture</dc:subject>
  <dc:creator>A11yPreserve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