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Public Meeting Report — 2026</w:t>
      </w:r>
    </w:p>
    <w:p>
      <w:pPr>
        <w:pStyle w:val="Heading1"/>
      </w:pPr>
      <w:r>
        <w:rPr>
          <w:lang w:val="en-US"/>
        </w:rPr>
        <w:t>Purpose and audience</w:t>
      </w:r>
    </w:p>
    <w:p>
      <w:r>
        <w:rPr>
          <w:lang w:val="en-US"/>
        </w:rPr>
        <w:t>This multi-page public meeting report explains a practical process for readers, authors, and reviewers. It combines several accessibility semantics in a document someone might author rather than concatenating atomic fixtures.</w:t>
      </w:r>
    </w:p>
    <w:p>
      <w:r>
        <w:t xml:space="preserve">The guide includes a short </w:t>
      </w:r>
      <w:r>
        <w:rPr>
          <w:lang w:val="fr-FR"/>
        </w:rPr>
        <w:t>bonjour</w:t>
      </w:r>
      <w:r>
        <w:t xml:space="preserve"> language example and a descriptive external resource.</w:t>
      </w:r>
      <w:hyperlink r:id="rId9">
        <w:r>
          <w:t>resource page</w:t>
        </w:r>
      </w:hyperlink>
    </w:p>
    <w:p>
      <w:pPr>
        <w:pStyle w:val="Heading2"/>
      </w:pPr>
      <w:r>
        <w:rPr>
          <w:lang w:val="en-US"/>
        </w:rPr>
        <w:t>Recommended actions</w:t>
      </w:r>
    </w:p>
    <w:p>
      <w:pPr>
        <w:numPr>
          <w:ilvl w:val="0"/>
          <w:numId w:val="10"/>
        </w:numPr>
      </w:pPr>
      <w:r>
        <w:t>Review the source contract</w:t>
      </w:r>
    </w:p>
    <w:p>
      <w:pPr>
        <w:numPr>
          <w:ilvl w:val="0"/>
          <w:numId w:val="11"/>
        </w:numPr>
      </w:pPr>
      <w:r>
        <w:t>Export through the documented workflow</w:t>
      </w:r>
    </w:p>
    <w:p>
      <w:pPr>
        <w:numPr>
          <w:ilvl w:val="0"/>
          <w:numId w:val="11"/>
        </w:numPr>
      </w:pPr>
      <w:r>
        <w:t>Inspect destination evidence</w:t>
      </w:r>
    </w:p>
    <w:p>
      <w:pPr>
        <w:pStyle w:val="Heading1"/>
      </w:pPr>
      <w:r>
        <w:rPr>
          <w:lang w:val="en-US"/>
        </w:rPr>
        <w:t>Evidence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Headings</w:t>
            </w:r>
          </w:p>
        </w:tc>
        <w:tc>
          <w:tcPr>
            <w:tcW w:type="dxa" w:w="2880"/>
          </w:tcPr>
          <w:p>
            <w:r>
              <w:t>Declared</w:t>
            </w:r>
          </w:p>
        </w:tc>
        <w:tc>
          <w:tcPr>
            <w:tcW w:type="dxa" w:w="2880"/>
          </w:tcPr>
          <w:p>
            <w:r>
              <w:t>Author</w:t>
            </w:r>
          </w:p>
        </w:tc>
      </w:tr>
      <w:tr>
        <w:tc>
          <w:tcPr>
            <w:tcW w:type="dxa" w:w="2880"/>
          </w:tcPr>
          <w:p>
            <w:r>
              <w:t>Links</w:t>
            </w:r>
          </w:p>
        </w:tc>
        <w:tc>
          <w:tcPr>
            <w:tcW w:type="dxa" w:w="2880"/>
          </w:tcPr>
          <w:p>
            <w:r>
              <w:t>Descriptive</w:t>
            </w:r>
          </w:p>
        </w:tc>
        <w:tc>
          <w:tcPr>
            <w:tcW w:type="dxa" w:w="2880"/>
          </w:tcPr>
          <w:p>
            <w:r>
              <w:t>Editor</w:t>
            </w:r>
          </w:p>
        </w:tc>
      </w:tr>
      <w:tr>
        <w:tc>
          <w:tcPr>
            <w:tcW w:type="dxa" w:w="2880"/>
          </w:tcPr>
          <w:p>
            <w:r>
              <w:t>Tables</w:t>
            </w:r>
          </w:p>
        </w:tc>
        <w:tc>
          <w:tcPr>
            <w:tcW w:type="dxa" w:w="2880"/>
          </w:tcPr>
          <w:p>
            <w:r>
              <w:t>Header row</w:t>
            </w:r>
          </w:p>
        </w:tc>
        <w:tc>
          <w:tcPr>
            <w:tcW w:type="dxa" w:w="2880"/>
          </w:tcPr>
          <w:p>
            <w:r>
              <w:t>Reviewer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 descr="Illustration for the public meeting report." title="public meeting report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5. Public Meeting Report overview.</w:t>
      </w:r>
    </w:p>
    <w:p>
      <w:r>
        <w:rPr>
          <w:lang w:val="en-US"/>
        </w:rPr>
        <w:t>A source-grounded evaluation preserves the declared property values as contracts and does not assign a global accessibility score.</w:t>
      </w:r>
    </w:p>
    <w:p>
      <w:r>
        <w:br w:type="page"/>
      </w:r>
    </w:p>
    <w:p>
      <w:pPr>
        <w:pStyle w:val="Heading1"/>
      </w:pPr>
      <w:r>
        <w:rPr>
          <w:lang w:val="en-US"/>
        </w:rPr>
        <w:t>Implementation notes</w:t>
      </w:r>
    </w:p>
    <w:p>
      <w:r>
        <w:rPr>
          <w:lang w:val="en-US"/>
        </w:rPr>
        <w:t>The second page records context, exceptions, and a short narrative so that the document exercises coexistence across paragraphs, lists, links, images, metadata, language, tables, and captions.</w:t>
      </w:r>
    </w:p>
    <w:p>
      <w:pPr>
        <w:pStyle w:val="Heading2"/>
      </w:pPr>
      <w:r>
        <w:rPr>
          <w:lang w:val="en-US"/>
        </w:rPr>
        <w:t>Exception handling</w:t>
      </w:r>
    </w:p>
    <w:p>
      <w:r>
        <w:rPr>
          <w:lang w:val="en-US"/>
        </w:rPr>
        <w:t>If a destination representation is ambiguous, the procedure abstains and records the reason. A parser failure is not treated as proof that source semantics were absent.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</w:lvl>
    <w:lvl w:ilvl="1">
      <w:start w:val="1"/>
      <w:numFmt w:val="decimal"/>
      <w:lvlText w:val="%2."/>
    </w:lvl>
    <w:lvl w:ilvl="2">
      <w:start w:val="1"/>
      <w:numFmt w:val="decimal"/>
      <w:lvlText w:val="%3."/>
    </w:lvl>
  </w:abstractNum>
  <w:num w:numId="10">
    <w:abstractNumId w:val="9"/>
  </w:num>
  <w:abstractNum w:abstractNumId="10">
    <w:lvl w:ilvl="0">
      <w:start w:val="1"/>
      <w:numFmt w:val="bullet"/>
      <w:lvlText w:val="•"/>
    </w:lvl>
    <w:lvl w:ilvl="1">
      <w:start w:val="1"/>
      <w:numFmt w:val="bullet"/>
      <w:lvlText w:val="•"/>
    </w:lvl>
    <w:lvl w:ilvl="2">
      <w:start w:val="1"/>
      <w:numFmt w:val="bullet"/>
      <w:lvlText w:val="•"/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org/realistic/5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A11yPreserve realistic document 5: public meeting report</dc:title>
  <dc:subject>Integrated realistic document 5</dc:subject>
  <dc:creator>A11yPreserve V4 controlled corpus</dc:creator>
  <cp:keywords>accessibility, preservation, integrated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