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lang w:val="en-US"/>
        </w:rPr>
        <w:t>V4 footnotes 4</w:t>
      </w:r>
    </w:p>
    <w:p>
      <w:r>
        <w:rPr>
          <w:lang w:val="en-US"/>
        </w:rPr>
        <w:t>The source contains a footnote reference for each declared note.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r>
        <w:footnoteReference w:id="1"/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r="http://schemas.openxmlformats.org/officeDocument/2006/relationships">
  <w:footnote w:id="-1">
    <w:p>
      <w:r>
        <w:separator/>
      </w:r>
    </w:p>
  </w:footnote>
  <w:footnote w:id="0">
    <w:p>
      <w:r>
        <w:continuationSeparator/>
      </w:r>
    </w:p>
  </w:footnote>
  <w:footnote w:id="1">
    <w:p>
      <w:r>
        <w:footnoteRef/>
      </w:r>
      <w:r>
        <w:t> A longer footnote body containing enough text to test relocation and extraction.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V4 footnotes 4</dc:title>
  <dc:subject>Source-grounded preservation contract</dc:subject>
  <dc:creator>A11yPreserve V4 controlled corpus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