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lang w:val="en-US"/>
        </w:rPr>
        <w:t>Visible report title</w:t>
      </w:r>
    </w:p>
    <w:p>
      <w:r>
        <w:rPr>
          <w:lang w:val="en-US"/>
        </w:rPr>
        <w:t>Visible title and core metadata are recorded as separate contract values.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Filename-distinct metadata title</dc:title>
  <dc:subject>Subject 5: source metadata</dc:subject>
  <dc:creator>A11yPreserve V4 controlled corpus</dc:creator>
  <cp:keywords>a11y, preservation, V4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