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lang w:val="en-US"/>
        </w:rPr>
        <w:t>A11yPreserve List Fixture</w:t>
      </w:r>
    </w:p>
    <w:p>
      <w:r>
        <w:rPr>
          <w:lang w:val="en-US"/>
        </w:rPr>
        <w:t>The fixture contains separate unordered, ordered, and nested lists with native Word numbering semantics.</w:t>
      </w:r>
    </w:p>
    <w:p>
      <w:r>
        <w:rPr>
          <w:lang w:val="en-US"/>
        </w:rPr>
        <w:t>Research areas</w:t>
      </w:r>
    </w:p>
    <w:p>
      <w:pPr>
        <w:pStyle w:val="ListBullet"/>
        <w:numPr>
          <w:ilvl w:val="0"/>
          <w:numId w:val="10"/>
        </w:numPr>
      </w:pPr>
      <w:r>
        <w:rPr>
          <w:lang w:val="en-US"/>
        </w:rPr>
        <w:t>Accessibility</w:t>
      </w:r>
    </w:p>
    <w:p>
      <w:pPr>
        <w:pStyle w:val="ListBullet"/>
        <w:numPr>
          <w:ilvl w:val="1"/>
          <w:numId w:val="10"/>
        </w:numPr>
      </w:pPr>
      <w:r>
        <w:rPr>
          <w:lang w:val="en-US"/>
        </w:rPr>
        <w:t>Documents</w:t>
      </w:r>
    </w:p>
    <w:p>
      <w:pPr>
        <w:pStyle w:val="ListBullet"/>
        <w:numPr>
          <w:ilvl w:val="1"/>
          <w:numId w:val="10"/>
        </w:numPr>
      </w:pPr>
      <w:r>
        <w:rPr>
          <w:lang w:val="en-US"/>
        </w:rPr>
        <w:t>Web</w:t>
      </w:r>
    </w:p>
    <w:p>
      <w:pPr>
        <w:pStyle w:val="ListBullet"/>
        <w:numPr>
          <w:ilvl w:val="0"/>
          <w:numId w:val="10"/>
        </w:numPr>
      </w:pPr>
      <w:r>
        <w:rPr>
          <w:lang w:val="en-US"/>
        </w:rPr>
        <w:t>Usability</w:t>
      </w:r>
    </w:p>
    <w:p>
      <w:r>
        <w:rPr>
          <w:lang w:val="en-US"/>
        </w:rPr>
        <w:t>Evaluation stages</w:t>
      </w:r>
    </w:p>
    <w:p>
      <w:pPr>
        <w:pStyle w:val="ListNumber"/>
        <w:numPr>
          <w:ilvl w:val="0"/>
          <w:numId w:val="11"/>
        </w:numPr>
      </w:pPr>
      <w:r>
        <w:rPr>
          <w:lang w:val="en-US"/>
        </w:rPr>
        <w:t>Extract</w:t>
      </w:r>
    </w:p>
    <w:p>
      <w:pPr>
        <w:pStyle w:val="ListNumber"/>
        <w:numPr>
          <w:ilvl w:val="0"/>
          <w:numId w:val="11"/>
        </w:numPr>
      </w:pPr>
      <w:r>
        <w:rPr>
          <w:lang w:val="en-US"/>
        </w:rPr>
        <w:t>Convert</w:t>
      </w:r>
    </w:p>
    <w:p>
      <w:pPr>
        <w:pStyle w:val="ListNumber"/>
        <w:numPr>
          <w:ilvl w:val="0"/>
          <w:numId w:val="11"/>
        </w:numPr>
      </w:pPr>
      <w:r>
        <w:rPr>
          <w:lang w:val="en-US"/>
        </w:rPr>
        <w:t>Compare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•"/>
      <w:suff w:val="tab"/>
      <w:pPr>
        <w:ind w:left="1080" w:hanging="360"/>
      </w:pPr>
      <w:rPr>
        <w:rFonts w:ascii="Symbol" w:hAnsi="Symbol"/>
      </w:rPr>
    </w:lvl>
    <w:lvl w:ilvl="2">
      <w:start w:val="1"/>
      <w:numFmt w:val="bullet"/>
      <w:lvlText w:val="•"/>
      <w:suff w:val="tab"/>
      <w:pPr>
        <w:ind w:left="1440" w:hanging="360"/>
      </w:pPr>
      <w:rPr>
        <w:rFonts w:ascii="Symbol" w:hAnsi="Symbol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ind w:left="720" w:hanging="360"/>
      </w:pPr>
      <w:rPr/>
    </w:lvl>
    <w:lvl w:ilvl="1">
      <w:start w:val="1"/>
      <w:numFmt w:val="decimal"/>
      <w:lvlText w:val="%2."/>
      <w:suff w:val="tab"/>
      <w:pPr>
        <w:ind w:left="1080" w:hanging="360"/>
      </w:pPr>
      <w:rPr/>
    </w:lvl>
    <w:lvl w:ilvl="2">
      <w:start w:val="1"/>
      <w:numFmt w:val="decimal"/>
      <w:lvlText w:val="%3."/>
      <w:suff w:val="tab"/>
      <w:pPr>
        <w:ind w:left="1440" w:hanging="360"/>
      </w:pPr>
      <w:rPr/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A11yPreserve List Fixture</dc:title>
  <dc:subject>A11yPreserve controlled accessibility fixture</dc:subject>
  <dc:creator>A11yPreserve pilot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