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lang w:val="en-US"/>
        </w:rPr>
        <w:t>A11yPreserve Table Fixture</w:t>
      </w:r>
    </w:p>
    <w:p>
      <w:r>
        <w:rPr>
          <w:lang w:val="en-US"/>
        </w:rPr>
        <w:t>The table reports enrollment and completion rate with the first row marked as a native Word header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lang w:val="en-US"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Students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Completion Rate</w:t>
            </w:r>
          </w:p>
        </w:tc>
      </w:tr>
      <w:tr>
        <w:tc>
          <w:tcPr>
            <w:tcW w:type="dxa" w:w="2880"/>
          </w:tcPr>
          <w:p>
            <w:r>
              <w:rPr>
                <w:lang w:val="en-US"/>
              </w:rPr>
              <w:t>2024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82%</w:t>
            </w:r>
          </w:p>
        </w:tc>
      </w:tr>
      <w:tr>
        <w:tc>
          <w:tcPr>
            <w:tcW w:type="dxa" w:w="2880"/>
          </w:tcPr>
          <w:p>
            <w:r>
              <w:rPr>
                <w:lang w:val="en-US"/>
              </w:rPr>
              <w:t>2025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87%</w:t>
            </w:r>
          </w:p>
        </w:tc>
      </w:tr>
      <w:tr>
        <w:tc>
          <w:tcPr>
            <w:tcW w:type="dxa" w:w="2880"/>
          </w:tcPr>
          <w:p>
            <w:r>
              <w:rPr>
                <w:lang w:val="en-US"/>
              </w:rPr>
              <w:t>2026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lang w:val="en-US"/>
              </w:rPr>
              <w:t>91%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Table Fixture</dc:title>
  <dc:subject>A11yPreserve controlled accessibility fixture</dc:subject>
  <dc:creator>A11yPreserve 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