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lang w:val="en-US"/>
        </w:rPr>
        <w:t>A11yPreserve Heading Fixture</w:t>
      </w:r>
    </w:p>
    <w:p>
      <w:pPr>
        <w:pStyle w:val="Heading1"/>
      </w:pPr>
      <w:r>
        <w:rPr>
          <w:lang w:val="en-US"/>
        </w:rPr>
        <w:t>Research Overview</w:t>
      </w:r>
    </w:p>
    <w:p>
      <w:r>
        <w:rPr>
          <w:lang w:val="en-US"/>
        </w:rPr>
        <w:t>This fixture introduces the research problem and establishes a deliberate heading hierarchy.</w:t>
      </w:r>
    </w:p>
    <w:p>
      <w:pPr>
        <w:pStyle w:val="Heading2"/>
      </w:pPr>
      <w:r>
        <w:rPr>
          <w:lang w:val="en-US"/>
        </w:rPr>
        <w:t>Background</w:t>
      </w:r>
    </w:p>
    <w:p>
      <w:r>
        <w:rPr>
          <w:lang w:val="en-US"/>
        </w:rPr>
        <w:t>Accessible structure can be preserved only when conversion retains the source document's intended semantics.</w:t>
      </w:r>
    </w:p>
    <w:p>
      <w:pPr>
        <w:pStyle w:val="Heading3"/>
      </w:pPr>
      <w:r>
        <w:rPr>
          <w:lang w:val="en-US"/>
        </w:rPr>
        <w:t>Prior Work</w:t>
      </w:r>
    </w:p>
    <w:p>
      <w:r>
        <w:rPr>
          <w:lang w:val="en-US"/>
        </w:rPr>
        <w:t>Prior accessibility research shows that document transformation can change structure and metadata.</w:t>
      </w:r>
    </w:p>
    <w:p>
      <w:pPr>
        <w:pStyle w:val="Heading2"/>
      </w:pPr>
      <w:r>
        <w:rPr>
          <w:lang w:val="en-US"/>
        </w:rPr>
        <w:t>Methods</w:t>
      </w:r>
    </w:p>
    <w:p>
      <w:r>
        <w:rPr>
          <w:lang w:val="en-US"/>
        </w:rPr>
        <w:t>The pilot compares source semantics with tagged PDF semantics using deterministic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Heading Fixture</dc:title>
  <dc:subject>A11yPreserve controlled accessibility fixture</dc:subject>
  <dc:creator>A11yPreserve 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