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en-US"/>
        </w:rPr>
        <w:t>Plain-Language Policy Note: Updating Public Information</w:t>
      </w:r>
    </w:p>
    <w:p>
      <w:r>
        <w:rPr>
          <w:lang w:val="en-US"/>
        </w:rPr>
        <w:t>Policy and implementation note | Version 2.0 | 2025</w:t>
      </w:r>
    </w:p>
    <w:p>
      <w:pPr>
        <w:pStyle w:val="Heading1"/>
      </w:pPr>
      <w:r>
        <w:rPr>
          <w:lang w:val="en-US"/>
        </w:rPr>
        <w:t>Purpose</w:t>
      </w:r>
    </w:p>
    <w:p>
      <w:r>
        <w:rPr>
          <w:lang w:val="en-US"/>
        </w:rPr>
        <w:t>This note explains how an agency should update public information while preserving the structure that helps readers find, understand, and reuse it. The policy applies to web pages, downloadable documents, and converted PDF copies.</w:t>
      </w:r>
    </w:p>
    <w:p>
      <w:r>
        <w:rPr>
          <w:lang w:val="en-US"/>
        </w:rPr>
        <w:t>The note is intentionally written in plain language. Short sections, descriptive headings, lists, and tables make the decision path visible without requiring a reader to infer it from layout alone.</w:t>
      </w:r>
    </w:p>
    <w:p>
      <w:pPr>
        <w:pStyle w:val="Heading1"/>
      </w:pPr>
      <w:r>
        <w:rPr>
          <w:lang w:val="en-US"/>
        </w:rPr>
        <w:t>Policy requirements</w:t>
      </w:r>
    </w:p>
    <w:p>
      <w:pPr>
        <w:pStyle w:val="Heading2"/>
      </w:pPr>
      <w:r>
        <w:rPr>
          <w:lang w:val="en-US"/>
        </w:rPr>
        <w:t>Before publication</w:t>
      </w:r>
    </w:p>
    <w:p>
      <w:pPr>
        <w:pStyle w:val="ListBullet"/>
        <w:ind w:left="0"/>
        <w:numPr>
          <w:ilvl w:val="0"/>
          <w:numId w:val="1"/>
        </w:numPr>
      </w:pPr>
      <w:r>
        <w:rPr>
          <w:lang w:val="en-US"/>
        </w:rPr>
        <w:t>Identify the audience and the decision the document supports.</w:t>
      </w:r>
    </w:p>
    <w:p>
      <w:pPr>
        <w:pStyle w:val="ListBullet"/>
        <w:ind w:left="0"/>
        <w:numPr>
          <w:ilvl w:val="0"/>
          <w:numId w:val="1"/>
        </w:numPr>
      </w:pPr>
      <w:r>
        <w:rPr>
          <w:lang w:val="en-US"/>
        </w:rPr>
        <w:t>Write a short title and a meaningful summary.</w:t>
      </w:r>
    </w:p>
    <w:p>
      <w:pPr>
        <w:pStyle w:val="ListBullet"/>
        <w:ind w:left="360"/>
        <w:numPr>
          <w:ilvl w:val="1"/>
          <w:numId w:val="1"/>
        </w:numPr>
      </w:pPr>
      <w:r>
        <w:rPr>
          <w:lang w:val="en-US"/>
        </w:rPr>
        <w:t>Check every image for an author-supplied alternative or a documented decorative state.</w:t>
      </w:r>
    </w:p>
    <w:p>
      <w:pPr>
        <w:pStyle w:val="ListBullet"/>
        <w:ind w:left="360"/>
        <w:numPr>
          <w:ilvl w:val="1"/>
          <w:numId w:val="1"/>
        </w:numPr>
      </w:pPr>
      <w:r>
        <w:rPr>
          <w:lang w:val="en-US"/>
        </w:rPr>
        <w:t>Check table headers and links before release.</w:t>
      </w:r>
    </w:p>
    <w:p>
      <w:pPr>
        <w:pStyle w:val="Heading2"/>
      </w:pPr>
      <w:r>
        <w:rPr>
          <w:lang w:val="en-US"/>
        </w:rPr>
        <w:t>During review</w:t>
      </w:r>
    </w:p>
    <w:p>
      <w:pPr>
        <w:pStyle w:val="ListBullet"/>
        <w:ind w:left="0"/>
        <w:numPr>
          <w:ilvl w:val="0"/>
          <w:numId w:val="1"/>
        </w:numPr>
      </w:pPr>
      <w:r>
        <w:rPr>
          <w:lang w:val="en-US"/>
        </w:rPr>
        <w:t>Review the heading hierarchy.</w:t>
      </w:r>
    </w:p>
    <w:p>
      <w:pPr>
        <w:pStyle w:val="ListBullet"/>
        <w:ind w:left="0"/>
        <w:numPr>
          <w:ilvl w:val="0"/>
          <w:numId w:val="1"/>
        </w:numPr>
      </w:pPr>
      <w:r>
        <w:rPr>
          <w:lang w:val="en-US"/>
        </w:rPr>
        <w:t>Confirm the primary document language.</w:t>
      </w:r>
    </w:p>
    <w:p>
      <w:pPr>
        <w:pStyle w:val="ListBullet"/>
        <w:ind w:left="0"/>
        <w:numPr>
          <w:ilvl w:val="0"/>
          <w:numId w:val="1"/>
        </w:numPr>
      </w:pPr>
      <w:r>
        <w:rPr>
          <w:lang w:val="en-US"/>
        </w:rPr>
        <w:t>Inspect converted outputs against the source contract.</w:t>
      </w:r>
    </w:p>
    <w:p>
      <w:pPr>
        <w:pStyle w:val="Heading1"/>
      </w:pPr>
      <w:r>
        <w:rPr>
          <w:lang w:val="en-US"/>
        </w:rPr>
        <w:t>Implementation schedule</w:t>
      </w:r>
    </w:p>
    <w:p>
      <w:r>
        <w:rPr>
          <w:lang w:val="en-US"/>
        </w:rPr>
        <w:t>Table 1. Policy implementation schedule.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tcPr>
          <w:p>
            <w:r>
              <w:t>Phase</w:t>
            </w:r>
          </w:p>
        </w:tc>
        <w:tc>
          <w:tcPr>
            <w:tcW w:type="dxa" w:w="3312"/>
          </w:tcPr>
          <w:p>
            <w:r>
              <w:t>Owner</w:t>
            </w:r>
          </w:p>
        </w:tc>
        <w:tc>
          <w:tcPr>
            <w:tcW w:type="dxa" w:w="3312"/>
          </w:tcPr>
          <w:p>
            <w:r>
              <w:t>Evidence</w:t>
            </w:r>
          </w:p>
        </w:tc>
      </w:tr>
      <w:tr>
        <w:tc>
          <w:tcPr>
            <w:tcW w:type="dxa" w:w="3312"/>
          </w:tcPr>
          <w:p>
            <w:r>
              <w:t>Draft</w:t>
            </w:r>
          </w:p>
        </w:tc>
        <w:tc>
          <w:tcPr>
            <w:tcW w:type="dxa" w:w="3312"/>
          </w:tcPr>
          <w:p>
            <w:r>
              <w:t>Policy team</w:t>
            </w:r>
          </w:p>
        </w:tc>
        <w:tc>
          <w:tcPr>
            <w:tcW w:type="dxa" w:w="3312"/>
          </w:tcPr>
          <w:p>
            <w:r>
              <w:t>Source contract</w:t>
            </w:r>
          </w:p>
        </w:tc>
      </w:tr>
      <w:tr>
        <w:tc>
          <w:tcPr>
            <w:tcW w:type="dxa" w:w="3312"/>
          </w:tcPr>
          <w:p>
            <w:r>
              <w:t>Review</w:t>
            </w:r>
          </w:p>
        </w:tc>
        <w:tc>
          <w:tcPr>
            <w:tcW w:type="dxa" w:w="3312"/>
          </w:tcPr>
          <w:p>
            <w:r>
              <w:t>Accessibility lead</w:t>
            </w:r>
          </w:p>
        </w:tc>
        <w:tc>
          <w:tcPr>
            <w:tcW w:type="dxa" w:w="3312"/>
          </w:tcPr>
          <w:p>
            <w:r>
              <w:t>Issue log</w:t>
            </w:r>
          </w:p>
        </w:tc>
      </w:tr>
      <w:tr>
        <w:tc>
          <w:tcPr>
            <w:tcW w:type="dxa" w:w="3312"/>
          </w:tcPr>
          <w:p>
            <w:r>
              <w:t>Release</w:t>
            </w:r>
          </w:p>
        </w:tc>
        <w:tc>
          <w:tcPr>
            <w:tcW w:type="dxa" w:w="3312"/>
          </w:tcPr>
          <w:p>
            <w:r>
              <w:t>Publishing team</w:t>
            </w:r>
          </w:p>
        </w:tc>
        <w:tc>
          <w:tcPr>
            <w:tcW w:type="dxa" w:w="3312"/>
          </w:tcPr>
          <w:p>
            <w:r>
              <w:t>Converted copy</w:t>
            </w:r>
          </w:p>
        </w:tc>
      </w:tr>
    </w:tbl>
    <w:p>
      <w:pPr>
        <w:pStyle w:val="Heading1"/>
      </w:pPr>
      <w:r>
        <w:rPr>
          <w:lang w:val="en-US"/>
        </w:rPr>
        <w:t>Illustrations</w:t>
      </w:r>
    </w:p>
    <w:p>
      <w:r>
        <w:rPr>
          <w:lang w:val="en-US"/>
        </w:rPr>
        <w:t>The first illustration carries information; the second is decorative and is included only to separate content from presentation.</w:t>
      </w:r>
    </w:p>
    <w:p>
      <w:pPr>
        <w:jc w:val="center"/>
      </w:pPr>
      <w:r>
        <w:drawing>
          <wp:inline xmlns:a="http://schemas.openxmlformats.org/drawingml/2006/main" xmlns:pic="http://schemas.openxmlformats.org/drawingml/2006/picture">
            <wp:extent cx="2194560" cy="2194560"/>
            <wp:docPr id="1" name="Picture 1" descr="A process diagram showing draft, review, and release stages." title="Policy process diagram"/>
            <wp:cNvGraphicFramePr>
              <a:graphicFrameLocks noChangeAspect="1"/>
            </wp:cNvGraphicFramePr>
            <a:graphic>
              <a:graphicData uri="http://schemas.openxmlformats.org/drawingml/2006/picture">
                <pic:pic>
                  <pic:nvPicPr>
                    <pic:cNvPr id="0" name="fixture.png"/>
                    <pic:cNvPicPr/>
                  </pic:nvPicPr>
                  <pic:blipFill>
                    <a:blip r:embed="rId9"/>
                    <a:stretch>
                      <a:fillRect/>
                    </a:stretch>
                  </pic:blipFill>
                  <pic:spPr>
                    <a:xfrm>
                      <a:off x="0" y="0"/>
                      <a:ext cx="2194560" cy="2194560"/>
                    </a:xfrm>
                    <a:prstGeom prst="rect"/>
                  </pic:spPr>
                </pic:pic>
              </a:graphicData>
            </a:graphic>
          </wp:inline>
        </w:drawing>
      </w:r>
    </w:p>
    <w:p>
      <w:pPr>
        <w:pStyle w:val="Caption"/>
      </w:pPr>
      <w:r>
        <w:rPr>
          <w:lang w:val="en-US"/>
        </w:rPr>
        <w:t>Figure 1. The policy moves through draft, review, and release stages.</w:t>
      </w:r>
    </w:p>
    <w:p>
      <w:pPr>
        <w:jc w:val="center"/>
      </w:pPr>
      <w:r>
        <w:drawing>
          <wp:inline xmlns:a="http://schemas.openxmlformats.org/drawingml/2006/main" xmlns:pic="http://schemas.openxmlformats.org/drawingml/2006/picture">
            <wp:extent cx="2194560" cy="2194560"/>
            <wp:docPr id="2" name="Picture 2" descr="" title="Decorative divider"/>
            <wp:cNvGraphicFramePr>
              <a:graphicFrameLocks noChangeAspect="1"/>
            </wp:cNvGraphicFramePr>
            <a:graphic>
              <a:graphicData uri="http://schemas.openxmlformats.org/drawingml/2006/picture">
                <pic:pic>
                  <pic:nvPicPr>
                    <pic:cNvPr id="0" name="fixture.png"/>
                    <pic:cNvPicPr/>
                  </pic:nvPicPr>
                  <pic:blipFill>
                    <a:blip r:embed="rId9"/>
                    <a:stretch>
                      <a:fillRect/>
                    </a:stretch>
                  </pic:blipFill>
                  <pic:spPr>
                    <a:xfrm>
                      <a:off x="0" y="0"/>
                      <a:ext cx="2194560" cy="2194560"/>
                    </a:xfrm>
                    <a:prstGeom prst="rect"/>
                  </pic:spPr>
                </pic:pic>
              </a:graphicData>
            </a:graphic>
          </wp:inline>
        </w:drawing>
      </w:r>
    </w:p>
    <w:p>
      <w:pPr>
        <w:pStyle w:val="Heading1"/>
      </w:pPr>
      <w:r>
        <w:rPr>
          <w:lang w:val="en-US"/>
        </w:rPr>
        <w:t>Language and links</w:t>
      </w:r>
    </w:p>
    <w:p>
      <w:r>
        <w:rPr>
          <w:lang w:val="en-US"/>
        </w:rPr>
        <w:t xml:space="preserve">The policy uses the English document language and identifies the phrase </w:t>
      </w:r>
      <w:r>
        <w:rPr>
          <w:lang w:val="es-MX"/>
        </w:rPr>
        <w:t>información pública</w:t>
      </w:r>
      <w:r>
        <w:rPr>
          <w:lang w:val="en-US"/>
        </w:rPr>
        <w:t xml:space="preserve"> as Spanish when it appears in an example.</w:t>
      </w:r>
    </w:p>
    <w:p>
      <w:r>
        <w:rPr>
          <w:lang w:val="en-US"/>
        </w:rPr>
        <w:t xml:space="preserve">The release checklist is aligned with the </w:t>
      </w:r>
      <w:hyperlink r:id="rId10">
        <w:r>
          <w:rPr>
            <w:color w:val="0000FF"/>
            <w:u w:val="single"/>
          </w:rPr>
          <w:t>Web Content Accessibility Guidelines</w:t>
        </w:r>
      </w:hyperlink>
    </w:p>
    <w:p>
      <w:pPr>
        <w:pStyle w:val="Heading1"/>
      </w:pPr>
      <w:r>
        <w:rPr>
          <w:lang w:val="en-US"/>
        </w:rPr>
        <w:t>Review record</w:t>
      </w:r>
    </w:p>
    <w:p>
      <w:r>
        <w:rPr>
          <w:lang w:val="en-US"/>
        </w:rPr>
        <w:t>Reviewers should record both positive and negative findings. A preserved heading does not prove that a table association survived, and a tagged PDF does not by itself prove that every known source property survived the conversion.</w:t>
      </w:r>
    </w:p>
    <w:p>
      <w:r>
        <w:rPr>
          <w:lang w:val="en-US"/>
        </w:rPr>
        <w:t>The release record should retain the source hash, conversion conditions, destination hash, and evidence path for each checked property. This makes later corrections possible without rewriting the original decision.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w3.org/WAI/standards-guidelines/wc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Plain-Language Policy Note: Updating Public Information</dc:title>
  <dc:subject>A11yPreserve integrated external-validity sanity check</dc:subject>
  <dc:creator>A11yPreserve benchmark</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