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A11yPreserve Decorative Image Fixture</w:t>
      </w:r>
    </w:p>
    <w:p>
      <w:r>
        <w:rPr>
          <w:lang w:val="en-US"/>
        </w:rPr>
        <w:t>The first image conveys information; the second image is explicitly decorative.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1" name="Picture 1" descr="A meaningful research figure showing the benchmark workflow." title="Informativ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2" name="Picture 2" descr="" title="Decorativ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A11yPreserve Decorative Image Fixture</dc:title>
  <dc:subject>A11yPreserve Phase 4 controlled benchmark fixture</dc:subject>
  <dc:creator>A11yPreserve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