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Interaction 01: Service navigation brief</w:t>
      </w:r>
    </w:p>
    <w:p>
      <w:r>
        <w:rPr>
          <w:lang w:val="en-US"/>
        </w:rPr>
        <w:t>An authored brief that combines document language, navigable headings, and a named external link.</w:t>
      </w:r>
    </w:p>
    <w:p>
      <w:pPr>
        <w:pStyle w:val="Heading1"/>
      </w:pPr>
      <w:r>
        <w:rPr>
          <w:lang w:val="en-US"/>
        </w:rPr>
        <w:t>Purpose</w:t>
      </w:r>
    </w:p>
    <w:p>
      <w:r>
        <w:rPr>
          <w:lang w:val="en-US"/>
        </w:rPr>
        <w:t>This brief explains how readers can find a service request and where to ask for an accessible format.</w:t>
      </w:r>
    </w:p>
    <w:p>
      <w:pPr>
        <w:pStyle w:val="Heading1"/>
      </w:pPr>
      <w:r>
        <w:rPr>
          <w:lang w:val="en-US"/>
        </w:rPr>
        <w:t>Service steps</w:t>
      </w:r>
    </w:p>
    <w:p>
      <w:pPr>
        <w:pStyle w:val="Heading2"/>
      </w:pPr>
      <w:r>
        <w:rPr>
          <w:lang w:val="en-US"/>
        </w:rPr>
        <w:t>Find the request</w:t>
      </w:r>
    </w:p>
    <w:p>
      <w:r>
        <w:rPr>
          <w:lang w:val="en-US"/>
        </w:rPr>
        <w:t>Start with the request title and read the short summary before opening the linked guidance.</w:t>
      </w:r>
    </w:p>
    <w:p>
      <w:pPr>
        <w:pStyle w:val="Heading2"/>
      </w:pPr>
      <w:r>
        <w:rPr>
          <w:lang w:val="en-US"/>
        </w:rPr>
        <w:t>Ask for help</w:t>
      </w:r>
    </w:p>
    <w:p>
      <w:r>
        <w:rPr>
          <w:lang w:val="en-US"/>
        </w:rPr>
        <w:t xml:space="preserve">The request form includes the Spanish phrase </w:t>
      </w:r>
      <w:r>
        <w:rPr>
          <w:lang w:val="es-MX"/>
        </w:rPr>
        <w:t>información pública</w:t>
      </w:r>
      <w:r>
        <w:rPr>
          <w:lang w:val="en-US"/>
        </w:rPr>
        <w:t xml:space="preserve"> as a marked language shift.</w:t>
      </w:r>
    </w:p>
    <w:p>
      <w:r>
        <w:rPr>
          <w:lang w:val="en-US"/>
        </w:rPr>
        <w:t xml:space="preserve">The complete guidance is in the </w:t>
      </w:r>
      <w:hyperlink r:id="rId9">
        <w:r>
          <w:rPr>
            <w:color w:val="0000FF"/>
            <w:u w:val="single"/>
          </w:rPr>
          <w:t>accessibility standards overview</w:t>
        </w:r>
      </w:hyperlink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3.org/WAI/standards-guidelines/wca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Interaction 01: Service navigation brief</dc:title>
  <dc:subject>A11yPreserve interaction-corpus source contract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