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Interaction 02: Multilingual review checklist</w:t>
      </w:r>
    </w:p>
    <w:p>
      <w:pPr>
        <w:pStyle w:val="Heading1"/>
      </w:pPr>
      <w:r>
        <w:rPr>
          <w:lang w:val="en-US"/>
        </w:rPr>
        <w:t>Review goals</w:t>
      </w:r>
    </w:p>
    <w:p>
      <w:r>
        <w:rPr>
          <w:lang w:val="en-US"/>
        </w:rPr>
        <w:t>The checklist records a review sequence while preserving a short language shift inside explanatory prose.</w:t>
      </w:r>
    </w:p>
    <w:p>
      <w:r>
        <w:rPr>
          <w:lang w:val="en-US"/>
        </w:rPr>
        <w:t xml:space="preserve">The reviewer may use the phrase </w:t>
      </w:r>
      <w:r>
        <w:rPr>
          <w:lang w:val="es-MX"/>
        </w:rPr>
        <w:t>Buenos días</w:t>
      </w:r>
      <w:r>
        <w:rPr>
          <w:lang w:val="en-US"/>
        </w:rPr>
        <w:t xml:space="preserve"> when opening the session.</w:t>
      </w:r>
    </w:p>
    <w:p>
      <w:pPr>
        <w:pStyle w:val="Heading1"/>
      </w:pPr>
      <w:r>
        <w:rPr>
          <w:lang w:val="en-US"/>
        </w:rPr>
        <w:t>Checklist</w:t>
      </w:r>
    </w:p>
    <w:p>
      <w:pPr>
        <w:pStyle w:val="ListNumber"/>
        <w:ind w:left="0"/>
        <w:numPr>
          <w:ilvl w:val="0"/>
          <w:numId w:val="5"/>
        </w:numPr>
      </w:pPr>
      <w:r>
        <w:rPr>
          <w:lang w:val="en-US"/>
        </w:rPr>
        <w:t>Identify the audience.</w:t>
      </w:r>
    </w:p>
    <w:p>
      <w:pPr>
        <w:pStyle w:val="ListNumber"/>
        <w:ind w:left="0"/>
        <w:numPr>
          <w:ilvl w:val="0"/>
          <w:numId w:val="5"/>
        </w:numPr>
      </w:pPr>
      <w:r>
        <w:rPr>
          <w:lang w:val="en-US"/>
        </w:rPr>
        <w:t>Check the document title.</w:t>
      </w:r>
    </w:p>
    <w:p>
      <w:pPr>
        <w:pStyle w:val="ListNumber"/>
        <w:ind w:left="360"/>
        <w:numPr>
          <w:ilvl w:val="1"/>
          <w:numId w:val="5"/>
        </w:numPr>
      </w:pPr>
      <w:r>
        <w:rPr>
          <w:lang w:val="en-US"/>
        </w:rPr>
        <w:t>Check headings and reading order.</w:t>
      </w:r>
    </w:p>
    <w:p>
      <w:pPr>
        <w:pStyle w:val="ListNumber"/>
        <w:ind w:left="360"/>
        <w:numPr>
          <w:ilvl w:val="1"/>
          <w:numId w:val="5"/>
        </w:numPr>
      </w:pPr>
      <w:r>
        <w:rPr>
          <w:lang w:val="en-US"/>
        </w:rPr>
        <w:t>Check the table header row.</w:t>
      </w:r>
    </w:p>
    <w:p>
      <w:pPr>
        <w:pStyle w:val="ListNumber"/>
        <w:ind w:left="0"/>
        <w:numPr>
          <w:ilvl w:val="0"/>
          <w:numId w:val="5"/>
        </w:numPr>
      </w:pPr>
      <w:r>
        <w:rPr>
          <w:lang w:val="en-US"/>
        </w:rPr>
        <w:t>Record unresolved evidence.</w:t>
      </w:r>
    </w:p>
    <w:p>
      <w:pPr>
        <w:pStyle w:val="Heading1"/>
      </w:pPr>
      <w:r>
        <w:rPr>
          <w:lang w:val="en-US"/>
        </w:rPr>
        <w:t>Decision</w:t>
      </w:r>
    </w:p>
    <w:p>
      <w:r>
        <w:rPr>
          <w:lang w:val="en-US"/>
        </w:rPr>
        <w:t>A reviewer records what the source contract establishes and does not infer equivalence from visual similarity alone.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Interaction 02: Multilingual review checklist</dc:title>
  <dc:subject>A11yPreserve interaction-corpus source contract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