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04: Service measures table</w:t>
      </w:r>
    </w:p>
    <w:p>
      <w:pPr>
        <w:pStyle w:val="Heading1"/>
      </w:pPr>
      <w:r>
        <w:rPr>
          <w:lang w:val="en-US"/>
        </w:rPr>
        <w:t>Measures and actions</w:t>
      </w:r>
    </w:p>
    <w:p>
      <w:r>
        <w:rPr>
          <w:lang w:val="en-US"/>
        </w:rPr>
        <w:t>The table reports measures, while the list below records the actions that explain how the measures are used.</w:t>
      </w:r>
    </w:p>
    <w:p>
      <w:r>
        <w:rPr>
          <w:lang w:val="en-US"/>
        </w:rPr>
        <w:t>Table 1. Service measures and next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</w:tcPr>
          <w:p>
            <w:r>
              <w:t>Measure</w:t>
            </w:r>
          </w:p>
        </w:tc>
        <w:tc>
          <w:tcPr>
            <w:tcW w:type="dxa" w:w="3312"/>
          </w:tcPr>
          <w:p>
            <w:r>
              <w:t>Current</w:t>
            </w:r>
          </w:p>
        </w:tc>
        <w:tc>
          <w:tcPr>
            <w:tcW w:type="dxa" w:w="3312"/>
          </w:tcPr>
          <w:p>
            <w:r>
              <w:t>Next step</w:t>
            </w:r>
          </w:p>
        </w:tc>
      </w:tr>
      <w:tr>
        <w:tc>
          <w:tcPr>
            <w:tcW w:type="dxa" w:w="3312"/>
          </w:tcPr>
          <w:p>
            <w:r>
              <w:t>Requests</w:t>
            </w:r>
          </w:p>
        </w:tc>
        <w:tc>
          <w:tcPr>
            <w:tcW w:type="dxa" w:w="3312"/>
          </w:tcPr>
          <w:p>
            <w:r>
              <w:t>148</w:t>
            </w:r>
          </w:p>
        </w:tc>
        <w:tc>
          <w:tcPr>
            <w:tcW w:type="dxa" w:w="3312"/>
          </w:tcPr>
          <w:p>
            <w:r>
              <w:t>Review</w:t>
            </w:r>
          </w:p>
        </w:tc>
      </w:tr>
      <w:tr>
        <w:tc>
          <w:tcPr>
            <w:tcW w:type="dxa" w:w="3312"/>
          </w:tcPr>
          <w:p>
            <w:r>
              <w:t>Wait days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Maintain</w:t>
            </w:r>
          </w:p>
        </w:tc>
      </w:tr>
      <w:tr>
        <w:tc>
          <w:tcPr>
            <w:tcW w:type="dxa" w:w="3312"/>
          </w:tcPr>
          <w:p>
            <w:r>
              <w:t>Follow-ups</w:t>
            </w:r>
          </w:p>
        </w:tc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Explain</w:t>
            </w:r>
          </w:p>
        </w:tc>
      </w:tr>
    </w:tbl>
    <w:p>
      <w:pPr>
        <w:pStyle w:val="Heading2"/>
      </w:pPr>
      <w:r>
        <w:rPr>
          <w:lang w:val="en-US"/>
        </w:rPr>
        <w:t>Action list</w:t>
      </w:r>
    </w:p>
    <w:p>
      <w:pPr>
        <w:pStyle w:val="ListBullet"/>
        <w:ind w:left="0"/>
        <w:numPr>
          <w:ilvl w:val="0"/>
          <w:numId w:val="1"/>
        </w:numPr>
      </w:pPr>
      <w:r>
        <w:rPr>
          <w:lang w:val="en-US"/>
        </w:rPr>
        <w:t>Review the request count.</w:t>
      </w:r>
    </w:p>
    <w:p>
      <w:pPr>
        <w:pStyle w:val="ListBullet"/>
        <w:ind w:left="360"/>
        <w:numPr>
          <w:ilvl w:val="1"/>
          <w:numId w:val="1"/>
        </w:numPr>
      </w:pPr>
      <w:r>
        <w:rPr>
          <w:lang w:val="en-US"/>
        </w:rPr>
        <w:t>Explain the next step.</w:t>
      </w:r>
    </w:p>
    <w:p>
      <w:pPr>
        <w:pStyle w:val="ListBullet"/>
        <w:ind w:left="0"/>
        <w:numPr>
          <w:ilvl w:val="0"/>
          <w:numId w:val="1"/>
        </w:numPr>
      </w:pPr>
      <w:r>
        <w:rPr>
          <w:lang w:val="en-US"/>
        </w:rPr>
        <w:t>Record the result.</w:t>
      </w:r>
    </w:p>
    <w:p>
      <w:pPr>
        <w:pStyle w:val="Heading1"/>
      </w:pPr>
      <w:r>
        <w:rPr>
          <w:lang w:val="en-US"/>
        </w:rPr>
        <w:t>Reading note</w:t>
      </w:r>
    </w:p>
    <w:p>
      <w:r>
        <w:rPr>
          <w:lang w:val="en-US"/>
        </w:rPr>
        <w:t>The header row, list nesting, and heading hierarchy are separate source properties that must coexist after conversion.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04: Service measures table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