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Interaction 05: Linked source note</w:t>
      </w:r>
    </w:p>
    <w:p>
      <w:pPr>
        <w:pStyle w:val="Heading1"/>
      </w:pPr>
      <w:r>
        <w:rPr>
          <w:lang w:val="en-US"/>
        </w:rPr>
        <w:t>Source note</w:t>
      </w:r>
    </w:p>
    <w:p>
      <w:r>
        <w:rPr>
          <w:lang w:val="en-US"/>
        </w:rPr>
        <w:t>This short note identifies the evidence used for a public-information example.</w:t>
      </w:r>
      <w:r>
        <w:footnoteReference w:id="1"/>
      </w:r>
    </w:p>
    <w:p>
      <w:r>
        <w:rPr>
          <w:lang w:val="en-US"/>
        </w:rPr>
        <w:t xml:space="preserve">The related standard is the </w:t>
      </w:r>
      <w:hyperlink r:id="rId9">
        <w:r>
          <w:rPr>
            <w:color w:val="0000FF"/>
            <w:u w:val="single"/>
          </w:rPr>
          <w:t>accessibility standards overview</w:t>
        </w:r>
      </w:hyperlink>
    </w:p>
    <w:p>
      <w:pPr>
        <w:pStyle w:val="Heading2"/>
      </w:pPr>
      <w:r>
        <w:rPr>
          <w:lang w:val="en-US"/>
        </w:rPr>
        <w:t>Use</w:t>
      </w:r>
    </w:p>
    <w:p>
      <w:r>
        <w:rPr>
          <w:lang w:val="en-US"/>
        </w:rPr>
        <w:t>Readers can navigate from the heading to the linked source and the footnote reference without relying on placement alone.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id="-1">
    <w:p>
      <w:r>
        <w:separator/>
      </w:r>
    </w:p>
  </w:footnote>
  <w:footnote w:id="0">
    <w:p>
      <w:r>
        <w:continuationSeparator/>
      </w:r>
    </w:p>
  </w:footnote>
  <w:footnote w:id="1">
    <w:p>
      <w:r>
        <w:footnoteRef/>
      </w:r>
      <w:r>
        <w:t> This note identifies the source used for the public-information example.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3.org/WAI/standards-guidelines/wcag/" TargetMode="External"/><Relationship Id="rId10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Interaction 05: Linked source note</dc:title>
  <dc:subject>A11yPreserve interaction-corpus source contract</dc:subject>
  <dc:creator>A11yPreserve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