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Interaction 06: Accessible service mini-report</w:t>
      </w:r>
    </w:p>
    <w:p>
      <w:r>
        <w:rPr>
          <w:lang w:val="en-US"/>
        </w:rPr>
        <w:t>A multi-section mini-report combining narrative, hierarchy, lists, language, a table, a figure, a caption, and a link.</w:t>
      </w:r>
    </w:p>
    <w:p>
      <w:pPr>
        <w:pStyle w:val="Heading1"/>
      </w:pPr>
      <w:r>
        <w:rPr>
          <w:lang w:val="en-US"/>
        </w:rPr>
        <w:t>Overview</w:t>
      </w:r>
    </w:p>
    <w:p>
      <w:r>
        <w:rPr>
          <w:lang w:val="en-US"/>
        </w:rPr>
        <w:t>The report describes a service update and records the structures that carry its meaning across sections.</w:t>
      </w:r>
    </w:p>
    <w:p>
      <w:pPr>
        <w:pStyle w:val="Heading1"/>
      </w:pPr>
      <w:r>
        <w:rPr>
          <w:lang w:val="en-US"/>
        </w:rPr>
        <w:t>Changes</w:t>
      </w:r>
    </w:p>
    <w:p>
      <w:pPr>
        <w:pStyle w:val="Heading2"/>
      </w:pPr>
      <w:r>
        <w:rPr>
          <w:lang w:val="en-US"/>
        </w:rPr>
        <w:t>What improved</w:t>
      </w:r>
    </w:p>
    <w:p>
      <w:pPr>
        <w:pStyle w:val="ListBullet"/>
        <w:ind w:left="0"/>
        <w:numPr>
          <w:ilvl w:val="0"/>
          <w:numId w:val="1"/>
        </w:numPr>
      </w:pPr>
      <w:r>
        <w:rPr>
          <w:lang w:val="en-US"/>
        </w:rPr>
        <w:t>Shorter intake instructions.</w:t>
      </w:r>
    </w:p>
    <w:p>
      <w:pPr>
        <w:pStyle w:val="ListBullet"/>
        <w:ind w:left="0"/>
        <w:numPr>
          <w:ilvl w:val="0"/>
          <w:numId w:val="1"/>
        </w:numPr>
      </w:pPr>
      <w:r>
        <w:rPr>
          <w:lang w:val="en-US"/>
        </w:rPr>
        <w:t>Clearer contact route.</w:t>
      </w:r>
    </w:p>
    <w:p>
      <w:pPr>
        <w:pStyle w:val="ListBullet"/>
        <w:ind w:left="360"/>
        <w:numPr>
          <w:ilvl w:val="1"/>
          <w:numId w:val="1"/>
        </w:numPr>
      </w:pPr>
      <w:r>
        <w:rPr>
          <w:lang w:val="en-US"/>
        </w:rPr>
        <w:t>Published format request process.</w:t>
      </w:r>
    </w:p>
    <w:p>
      <w:r>
        <w:rPr>
          <w:lang w:val="en-US"/>
        </w:rPr>
        <w:t xml:space="preserve">The example request is labeled </w:t>
      </w:r>
      <w:r>
        <w:rPr>
          <w:lang w:val="es-MX"/>
        </w:rPr>
        <w:t>información pública</w:t>
      </w:r>
      <w:r>
        <w:rPr>
          <w:lang w:val="en-US"/>
        </w:rPr>
        <w:t xml:space="preserve"> in Spanish.</w:t>
      </w:r>
    </w:p>
    <w:p>
      <w:pPr>
        <w:pStyle w:val="Heading1"/>
      </w:pPr>
      <w:r>
        <w:rPr>
          <w:lang w:val="en-US"/>
        </w:rPr>
        <w:t>Measures</w:t>
      </w:r>
    </w:p>
    <w:p>
      <w:r>
        <w:rPr>
          <w:lang w:val="en-US"/>
        </w:rPr>
        <w:t>Table 1. Changes in service measures.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</w:tcPr>
          <w:p>
            <w:r>
              <w:t>Measure</w:t>
            </w:r>
          </w:p>
        </w:tc>
        <w:tc>
          <w:tcPr>
            <w:tcW w:type="dxa" w:w="3312"/>
          </w:tcPr>
          <w:p>
            <w:r>
              <w:t>Before</w:t>
            </w:r>
          </w:p>
        </w:tc>
        <w:tc>
          <w:tcPr>
            <w:tcW w:type="dxa" w:w="3312"/>
          </w:tcPr>
          <w:p>
            <w:r>
              <w:t>After</w:t>
            </w:r>
          </w:p>
        </w:tc>
      </w:tr>
      <w:tr>
        <w:tc>
          <w:tcPr>
            <w:tcW w:type="dxa" w:w="3312"/>
          </w:tcPr>
          <w:p>
            <w:r>
              <w:t>Intake steps</w:t>
            </w:r>
          </w:p>
        </w:tc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4</w:t>
            </w:r>
          </w:p>
        </w:tc>
      </w:tr>
      <w:tr>
        <w:tc>
          <w:tcPr>
            <w:tcW w:type="dxa" w:w="3312"/>
          </w:tcPr>
          <w:p>
            <w:r>
              <w:t>Wait days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</w:tbl>
    <w:p>
      <w:pPr>
        <w:pStyle w:val="Heading1"/>
      </w:pPr>
      <w:r>
        <w:rPr>
          <w:lang w:val="en-US"/>
        </w:rPr>
        <w:t>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 descr="A simple process diagram showing intake, review, and response stages." title="Service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n-US"/>
        </w:rPr>
        <w:t>Figure 1. The service process has intake, review, and response stages.</w:t>
      </w:r>
    </w:p>
    <w:p>
      <w:r>
        <w:rPr>
          <w:lang w:val="en-US"/>
        </w:rPr>
        <w:t xml:space="preserve">The publication checklist follows the </w:t>
      </w:r>
      <w:hyperlink r:id="rId10">
        <w:r>
          <w:rPr>
            <w:color w:val="0000FF"/>
            <w:u w:val="single"/>
          </w:rPr>
          <w:t>Web Content Accessibility Guidelines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3.org/WAI/standards-guidelines/wc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06: Accessible service mini-report</dc:title>
  <dc:subject>A11yPreserve interaction-corpus source contract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