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A6B"/>
          <w:sz w:val="52"/>
        </w:rPr>
        <w:t>TELECOM CUSTOMER CHURN PREDICTION</w:t>
      </w:r>
    </w:p>
    <w:p>
      <w:pPr>
        <w:jc w:val="center"/>
      </w:pPr>
      <w:r>
        <w:rPr>
          <w:b w:val="0"/>
          <w:color w:val="2E5F8A"/>
          <w:sz w:val="32"/>
        </w:rPr>
        <w:t>&amp; Business Analytics Report</w:t>
      </w:r>
    </w:p>
    <w:p/>
    <w:p>
      <w:pPr>
        <w:jc w:val="center"/>
      </w:pPr>
      <w:r>
        <w:rPr>
          <w:i/>
          <w:color w:val="555555"/>
          <w:sz w:val="20"/>
        </w:rPr>
        <w:t>Generated: October 16, 2026  ·  Dataset: Telco Customer Churn (Kaggle)  ·  7,043 customers</w:t>
      </w:r>
    </w:p>
    <w:p>
      <w:r>
        <w:br w:type="page"/>
      </w:r>
    </w:p>
    <w:p>
      <w:pPr>
        <w:pStyle w:val="Heading1"/>
      </w:pPr>
      <w:r>
        <w:rPr>
          <w:b/>
          <w:color w:val="1A3A6B"/>
        </w:rPr>
        <w:t>1. Executive Summary</w:t>
      </w:r>
    </w:p>
    <w:p>
      <w:r>
        <w:rPr>
          <w:b w:val="0"/>
          <w:i w:val="0"/>
          <w:sz w:val="22"/>
        </w:rPr>
        <w:t>This report presents a comprehensive analysis of customer churn for a telecom provider using the publicly available Telco Customer Churn dataset (7,043 subscribers). Machine-learning models were trained to predict churn probability at the individual customer level, enabling targeted retention strategies that minimise revenue loss.</w:t>
      </w:r>
    </w:p>
    <w:p/>
    <w:p>
      <w:r>
        <w:rPr>
          <w:b/>
          <w:i w:val="0"/>
          <w:sz w:val="22"/>
        </w:rPr>
        <w:t>Key outcomes of this study:</w:t>
      </w:r>
    </w:p>
    <w:p>
      <w:pPr>
        <w:pStyle w:val="ListBullet"/>
      </w:pPr>
      <w:r>
        <w:rPr>
          <w:sz w:val="21"/>
        </w:rPr>
        <w:t>Overall churn rate of 26.5% — nearly 1 in 4 customers is at risk of leaving.</w:t>
      </w:r>
    </w:p>
    <w:p>
      <w:pPr>
        <w:pStyle w:val="ListBullet"/>
      </w:pPr>
      <w:r>
        <w:rPr>
          <w:sz w:val="21"/>
        </w:rPr>
        <w:t>Gradient Boosting achieved the best predictive performance: F1 = 59.3%, ROC-AUC = 84.1%.</w:t>
      </w:r>
    </w:p>
    <w:p>
      <w:pPr>
        <w:pStyle w:val="ListBullet"/>
      </w:pPr>
      <w:r>
        <w:rPr>
          <w:sz w:val="21"/>
        </w:rPr>
        <w:t>Month-to-month contract holders churn at ~43% — 3× higher than two-year subscribers.</w:t>
      </w:r>
    </w:p>
    <w:p>
      <w:pPr>
        <w:pStyle w:val="ListBullet"/>
      </w:pPr>
      <w:r>
        <w:rPr>
          <w:sz w:val="21"/>
        </w:rPr>
        <w:t>Fiber Optic internet service is associated with the highest churn propensity (~42%).</w:t>
      </w:r>
    </w:p>
    <w:p>
      <w:pPr>
        <w:pStyle w:val="ListBullet"/>
      </w:pPr>
      <w:r>
        <w:rPr>
          <w:sz w:val="21"/>
        </w:rPr>
        <w:t>Electronic check payers churn at nearly 2× the rate of automatic-payment customers.</w:t>
      </w:r>
    </w:p>
    <w:p>
      <w:pPr>
        <w:pStyle w:val="ListBullet"/>
      </w:pPr>
      <w:r>
        <w:rPr>
          <w:sz w:val="21"/>
        </w:rPr>
        <w:t>Customers in their first 12 months of tenure represent the highest early-exit risk.</w:t>
      </w:r>
    </w:p>
    <w:p>
      <w:pPr>
        <w:pStyle w:val="ListBullet"/>
      </w:pPr>
      <w:r>
        <w:rPr>
          <w:sz w:val="21"/>
        </w:rPr>
        <w:t>Predicted high-risk cohort (≥ 70% churn probability): ~1,500+ customers, representing substantial monthly recurring revenue at stake.</w:t>
      </w:r>
    </w:p>
    <w:p/>
    <w:p>
      <w:pPr>
        <w:pStyle w:val="Heading1"/>
      </w:pPr>
      <w:r>
        <w:rPr>
          <w:b/>
          <w:color w:val="1A3A6B"/>
        </w:rPr>
        <w:t>2. Dataset Overview</w:t>
      </w:r>
    </w:p>
    <w:p>
      <w:r>
        <w:rPr>
          <w:b w:val="0"/>
          <w:i/>
          <w:sz w:val="20"/>
        </w:rPr>
        <w:t>Source: https://www.kaggle.com/datasets/blastchar/telco-customer-churn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703"/>
            <w:shd w:val="clear" w:color="auto" w:fill="2C5F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  <w:shd w:val="clear" w:color="auto" w:fill="EAF2FF"/>
          </w:tcPr>
          <w:p>
            <w:pPr>
              <w:jc w:val="center"/>
            </w:pPr>
            <w:r>
              <w:rPr>
                <w:sz w:val="20"/>
              </w:rPr>
              <w:t>Dataset Name</w:t>
            </w:r>
          </w:p>
        </w:tc>
        <w:tc>
          <w:tcPr>
            <w:tcW w:type="dxa" w:w="4703"/>
            <w:shd w:val="clear" w:color="auto" w:fill="EAF2FF"/>
          </w:tcPr>
          <w:p>
            <w:pPr>
              <w:jc w:val="center"/>
            </w:pPr>
            <w:r>
              <w:rPr>
                <w:sz w:val="20"/>
              </w:rPr>
              <w:t>Telco Customer Churn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Total Records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7,043 customers</w:t>
            </w:r>
          </w:p>
        </w:tc>
      </w:tr>
      <w:tr>
        <w:tc>
          <w:tcPr>
            <w:tcW w:type="dxa" w:w="4703"/>
            <w:shd w:val="clear" w:color="auto" w:fill="EAF2FF"/>
          </w:tcPr>
          <w:p>
            <w:pPr>
              <w:jc w:val="center"/>
            </w:pPr>
            <w:r>
              <w:rPr>
                <w:sz w:val="20"/>
              </w:rPr>
              <w:t>Total Features</w:t>
            </w:r>
          </w:p>
        </w:tc>
        <w:tc>
          <w:tcPr>
            <w:tcW w:type="dxa" w:w="4703"/>
            <w:shd w:val="clear" w:color="auto" w:fill="EAF2FF"/>
          </w:tcPr>
          <w:p>
            <w:pPr>
              <w:jc w:val="center"/>
            </w:pPr>
            <w:r>
              <w:rPr>
                <w:sz w:val="20"/>
              </w:rPr>
              <w:t>21 columns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Target Variable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Churn (Yes / No)</w:t>
            </w:r>
          </w:p>
        </w:tc>
      </w:tr>
      <w:tr>
        <w:tc>
          <w:tcPr>
            <w:tcW w:type="dxa" w:w="4703"/>
            <w:shd w:val="clear" w:color="auto" w:fill="EAF2FF"/>
          </w:tcPr>
          <w:p>
            <w:pPr>
              <w:jc w:val="center"/>
            </w:pPr>
            <w:r>
              <w:rPr>
                <w:sz w:val="20"/>
              </w:rPr>
              <w:t>Churn Class Balance</w:t>
            </w:r>
          </w:p>
        </w:tc>
        <w:tc>
          <w:tcPr>
            <w:tcW w:type="dxa" w:w="4703"/>
            <w:shd w:val="clear" w:color="auto" w:fill="EAF2FF"/>
          </w:tcPr>
          <w:p>
            <w:pPr>
              <w:jc w:val="center"/>
            </w:pPr>
            <w:r>
              <w:rPr>
                <w:sz w:val="20"/>
              </w:rPr>
              <w:t>Not Churned: 73.5%  |  Churned: 26.5%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Numeric Features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tenure, MonthlyCharges, TotalCharges, SeniorCitizen</w:t>
            </w:r>
          </w:p>
        </w:tc>
      </w:tr>
      <w:tr>
        <w:tc>
          <w:tcPr>
            <w:tcW w:type="dxa" w:w="4703"/>
            <w:shd w:val="clear" w:color="auto" w:fill="EAF2FF"/>
          </w:tcPr>
          <w:p>
            <w:pPr>
              <w:jc w:val="center"/>
            </w:pPr>
            <w:r>
              <w:rPr>
                <w:sz w:val="20"/>
              </w:rPr>
              <w:t>Categorical Features</w:t>
            </w:r>
          </w:p>
        </w:tc>
        <w:tc>
          <w:tcPr>
            <w:tcW w:type="dxa" w:w="4703"/>
            <w:shd w:val="clear" w:color="auto" w:fill="EAF2FF"/>
          </w:tcPr>
          <w:p>
            <w:pPr>
              <w:jc w:val="center"/>
            </w:pPr>
            <w:r>
              <w:rPr>
                <w:sz w:val="20"/>
              </w:rPr>
              <w:t>gender, Partner, Dependents, PhoneService, MultipleLines, InternetService, OnlineSecurity, OnlineBackup, DeviceProtection, TechSupport, StreamingTV, StreamingMovies, Contract, PaperlessBilling, PaymentMethod</w:t>
            </w:r>
          </w:p>
        </w:tc>
      </w:tr>
    </w:tbl>
    <w:p/>
    <w:p>
      <w:pPr>
        <w:pStyle w:val="Heading1"/>
      </w:pPr>
      <w:r>
        <w:rPr>
          <w:b/>
          <w:color w:val="1A3A6B"/>
        </w:rPr>
        <w:t>3. Executive KPIs</w:t>
      </w:r>
    </w:p>
    <w:p>
      <w:r>
        <w:rPr>
          <w:b w:val="0"/>
          <w:i w:val="0"/>
          <w:sz w:val="22"/>
        </w:rPr>
        <w:t>The following key performance indicators summarise the business impact of customer churn and the model's predictive output: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80" w:after="40"/>
            </w:pPr>
          </w:p>
          <w:p>
            <w:pPr>
              <w:spacing w:before="80" w:after="40"/>
              <w:jc w:val="center"/>
            </w:pPr>
            <w:r>
              <w:rPr>
                <w:b/>
                <w:color w:val="94B8D8"/>
                <w:sz w:val="16"/>
              </w:rPr>
              <w:t>TOTAL CUSTOMERS</w:t>
            </w:r>
          </w:p>
          <w:p>
            <w:pPr>
              <w:spacing w:before="80" w:after="40"/>
              <w:jc w:val="center"/>
            </w:pPr>
            <w:r>
              <w:rPr>
                <w:b/>
                <w:color w:val="FFFFFF"/>
                <w:sz w:val="36"/>
              </w:rPr>
              <w:t>7,043</w:t>
            </w:r>
          </w:p>
          <w:p>
            <w:pPr>
              <w:spacing w:before="80" w:after="40"/>
              <w:jc w:val="center"/>
            </w:pPr>
            <w:r>
              <w:rPr>
                <w:color w:val="7EB8D4"/>
                <w:sz w:val="16"/>
              </w:rPr>
              <w:t>full dataset</w:t>
            </w:r>
          </w:p>
        </w:tc>
        <w:tc>
          <w:tcPr>
            <w:tcW w:type="dxa" w:w="313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80" w:after="40"/>
            </w:pPr>
          </w:p>
          <w:p>
            <w:pPr>
              <w:spacing w:before="80" w:after="40"/>
              <w:jc w:val="center"/>
            </w:pPr>
            <w:r>
              <w:rPr>
                <w:b/>
                <w:color w:val="94B8D8"/>
                <w:sz w:val="16"/>
              </w:rPr>
              <w:t>CHURNED CUSTOMERS</w:t>
            </w:r>
          </w:p>
          <w:p>
            <w:pPr>
              <w:spacing w:before="80" w:after="40"/>
              <w:jc w:val="center"/>
            </w:pPr>
            <w:r>
              <w:rPr>
                <w:b/>
                <w:color w:val="FFFFFF"/>
                <w:sz w:val="36"/>
              </w:rPr>
              <w:t>1,869</w:t>
            </w:r>
          </w:p>
          <w:p>
            <w:pPr>
              <w:spacing w:before="80" w:after="40"/>
              <w:jc w:val="center"/>
            </w:pPr>
            <w:r>
              <w:rPr>
                <w:color w:val="7EB8D4"/>
                <w:sz w:val="16"/>
              </w:rPr>
              <w:t>26.54% churn rate</w:t>
            </w:r>
          </w:p>
        </w:tc>
        <w:tc>
          <w:tcPr>
            <w:tcW w:type="dxa" w:w="313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80" w:after="40"/>
            </w:pPr>
          </w:p>
          <w:p>
            <w:pPr>
              <w:spacing w:before="80" w:after="40"/>
              <w:jc w:val="center"/>
            </w:pPr>
            <w:r>
              <w:rPr>
                <w:b/>
                <w:color w:val="94B8D8"/>
                <w:sz w:val="16"/>
              </w:rPr>
              <w:t>REVENUE AT RISK</w:t>
            </w:r>
          </w:p>
          <w:p>
            <w:pPr>
              <w:spacing w:before="80" w:after="40"/>
              <w:jc w:val="center"/>
            </w:pPr>
            <w:r>
              <w:rPr>
                <w:b/>
                <w:color w:val="FFFFFF"/>
                <w:sz w:val="36"/>
              </w:rPr>
              <w:t>~$139K/mo</w:t>
            </w:r>
          </w:p>
          <w:p>
            <w:pPr>
              <w:spacing w:before="80" w:after="40"/>
              <w:jc w:val="center"/>
            </w:pPr>
            <w:r>
              <w:rPr>
                <w:color w:val="7EB8D4"/>
                <w:sz w:val="16"/>
              </w:rPr>
              <w:t>from churned customers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80" w:after="40"/>
            </w:pPr>
          </w:p>
          <w:p>
            <w:pPr>
              <w:spacing w:before="80" w:after="40"/>
              <w:jc w:val="center"/>
            </w:pPr>
            <w:r>
              <w:rPr>
                <w:b/>
                <w:color w:val="94B8D8"/>
                <w:sz w:val="16"/>
              </w:rPr>
              <w:t>AVG MONTHLY CHARGE</w:t>
            </w:r>
          </w:p>
          <w:p>
            <w:pPr>
              <w:spacing w:before="80" w:after="40"/>
              <w:jc w:val="center"/>
            </w:pPr>
            <w:r>
              <w:rPr>
                <w:b/>
                <w:color w:val="FFFFFF"/>
                <w:sz w:val="36"/>
              </w:rPr>
              <w:t>$64.76</w:t>
            </w:r>
          </w:p>
          <w:p>
            <w:pPr>
              <w:spacing w:before="80" w:after="40"/>
              <w:jc w:val="center"/>
            </w:pPr>
            <w:r>
              <w:rPr>
                <w:color w:val="7EB8D4"/>
                <w:sz w:val="16"/>
              </w:rPr>
              <w:t>across all customers</w:t>
            </w:r>
          </w:p>
        </w:tc>
        <w:tc>
          <w:tcPr>
            <w:tcW w:type="dxa" w:w="313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80" w:after="40"/>
            </w:pPr>
          </w:p>
          <w:p>
            <w:pPr>
              <w:spacing w:before="80" w:after="40"/>
              <w:jc w:val="center"/>
            </w:pPr>
            <w:r>
              <w:rPr>
                <w:b/>
                <w:color w:val="94B8D8"/>
                <w:sz w:val="16"/>
              </w:rPr>
              <w:t>AVG TENURE</w:t>
            </w:r>
          </w:p>
          <w:p>
            <w:pPr>
              <w:spacing w:before="80" w:after="40"/>
              <w:jc w:val="center"/>
            </w:pPr>
            <w:r>
              <w:rPr>
                <w:b/>
                <w:color w:val="FFFFFF"/>
                <w:sz w:val="36"/>
              </w:rPr>
              <w:t>32.4 months</w:t>
            </w:r>
          </w:p>
          <w:p>
            <w:pPr>
              <w:spacing w:before="80" w:after="40"/>
              <w:jc w:val="center"/>
            </w:pPr>
            <w:r>
              <w:rPr>
                <w:color w:val="7EB8D4"/>
                <w:sz w:val="16"/>
              </w:rPr>
              <w:t>across all customers</w:t>
            </w:r>
          </w:p>
        </w:tc>
        <w:tc>
          <w:tcPr>
            <w:tcW w:type="dxa" w:w="313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80" w:after="40"/>
            </w:pPr>
          </w:p>
          <w:p>
            <w:pPr>
              <w:spacing w:before="80" w:after="40"/>
              <w:jc w:val="center"/>
            </w:pPr>
            <w:r>
              <w:rPr>
                <w:b/>
                <w:color w:val="94B8D8"/>
                <w:sz w:val="16"/>
              </w:rPr>
              <w:t>HIGH-RISK POOL</w:t>
            </w:r>
          </w:p>
          <w:p>
            <w:pPr>
              <w:spacing w:before="80" w:after="40"/>
              <w:jc w:val="center"/>
            </w:pPr>
            <w:r>
              <w:rPr>
                <w:b/>
                <w:color w:val="FFFFFF"/>
                <w:sz w:val="36"/>
              </w:rPr>
              <w:t>~1,500+</w:t>
            </w:r>
          </w:p>
          <w:p>
            <w:pPr>
              <w:spacing w:before="80" w:after="40"/>
              <w:jc w:val="center"/>
            </w:pPr>
            <w:r>
              <w:rPr>
                <w:color w:val="7EB8D4"/>
                <w:sz w:val="16"/>
              </w:rPr>
              <w:t>predicted ≥ 70% churn prob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3A6B"/>
        </w:rPr>
        <w:t>4. Machine Learning Model Performance</w:t>
      </w:r>
    </w:p>
    <w:p>
      <w:r>
        <w:rPr>
          <w:b w:val="0"/>
          <w:i w:val="0"/>
          <w:sz w:val="22"/>
        </w:rPr>
        <w:t>Three supervised classification algorithms were trained on an 80/20 stratified train-test split. Features were label-encoded; Logistic Regression used standard scaling. The best model was selected by F1 Score.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568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568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568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568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 Score</w:t>
            </w:r>
          </w:p>
        </w:tc>
        <w:tc>
          <w:tcPr>
            <w:tcW w:type="dxa" w:w="1568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ROC-AUC</w:t>
            </w:r>
          </w:p>
        </w:tc>
      </w:tr>
      <w:tr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Logistic Regression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79.91%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64.26%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54.81%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59.16%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84.03%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Random Forest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78.92%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63.32%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48.93%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55.20%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82.56%</w:t>
            </w:r>
          </w:p>
        </w:tc>
      </w:tr>
      <w:tr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Gradient Boosting ✓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80.62%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67.00%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53.21%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59.31%</w:t>
            </w:r>
          </w:p>
        </w:tc>
        <w:tc>
          <w:tcPr>
            <w:tcW w:type="dxa" w:w="1568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84.12%</w:t>
            </w:r>
          </w:p>
        </w:tc>
      </w:tr>
    </w:tbl>
    <w:p/>
    <w:p>
      <w:r>
        <w:rPr>
          <w:b/>
          <w:i w:val="0"/>
          <w:color w:val="1A5276"/>
          <w:sz w:val="20"/>
        </w:rPr>
        <w:t>✓ Best model selected by F1 Score — Gradient Boosting (GBM).</w:t>
      </w:r>
    </w:p>
    <w:p/>
    <w:p>
      <w:pPr>
        <w:pStyle w:val="Heading2"/>
      </w:pPr>
      <w:r>
        <w:rPr>
          <w:b/>
          <w:color w:val="2E5F8A"/>
        </w:rPr>
        <w:t>4.1  Model Selection Rationale</w:t>
      </w:r>
    </w:p>
    <w:p>
      <w:r>
        <w:rPr>
          <w:b w:val="0"/>
          <w:i w:val="0"/>
          <w:sz w:val="22"/>
        </w:rPr>
        <w:t>Gradient Boosting was selected as the production model due to its highest F1 Score (59.31%) and ROC-AUC (84.12%). F1 is the preferred optimisation metric in churn scenarios because both false negatives (missed churners) and false positives (unnecessary retention costs) carry business cost. ROC-AUC above 84% confirms strong discrimination between churners and non-churners across all decision thresholds.</w:t>
      </w:r>
    </w:p>
    <w:p/>
    <w:p>
      <w:pPr>
        <w:pStyle w:val="Heading1"/>
      </w:pPr>
      <w:r>
        <w:rPr>
          <w:b/>
          <w:color w:val="1A3A6B"/>
        </w:rPr>
        <w:t>5. Key Churn Risk Drivers</w:t>
      </w:r>
    </w:p>
    <w:p>
      <w:pPr>
        <w:pStyle w:val="Heading2"/>
      </w:pPr>
      <w:r>
        <w:rPr>
          <w:b/>
          <w:color w:val="2E5F8A"/>
        </w:rPr>
        <w:t>5.1  Contract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5F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Contract Type</w:t>
            </w:r>
          </w:p>
        </w:tc>
        <w:tc>
          <w:tcPr>
            <w:tcW w:type="dxa" w:w="3135"/>
            <w:shd w:val="clear" w:color="auto" w:fill="2C5F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Churn Rate</w:t>
            </w:r>
          </w:p>
        </w:tc>
        <w:tc>
          <w:tcPr>
            <w:tcW w:type="dxa" w:w="3135"/>
            <w:shd w:val="clear" w:color="auto" w:fill="2C5F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Retention Risk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Month-to-month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~43%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One year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~11%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Two year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~3%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LOW</w:t>
            </w:r>
          </w:p>
        </w:tc>
      </w:tr>
    </w:tbl>
    <w:p/>
    <w:p>
      <w:pPr>
        <w:pStyle w:val="Heading2"/>
      </w:pPr>
      <w:r>
        <w:rPr>
          <w:b/>
          <w:color w:val="2E5F8A"/>
        </w:rPr>
        <w:t>5.2  Customer Tenure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5F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Tenure Bucket</w:t>
            </w:r>
          </w:p>
        </w:tc>
        <w:tc>
          <w:tcPr>
            <w:tcW w:type="dxa" w:w="3135"/>
            <w:shd w:val="clear" w:color="auto" w:fill="2C5F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Churn Rate</w:t>
            </w:r>
          </w:p>
        </w:tc>
        <w:tc>
          <w:tcPr>
            <w:tcW w:type="dxa" w:w="3135"/>
            <w:shd w:val="clear" w:color="auto" w:fill="2C5F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Insight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0–12 months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~47%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Highest risk — onboarding phase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13–24 months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~35%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Still elevated — engagement critical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25–48 months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~20%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Declining — loyalty forming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49–72 months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~8%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Lowest risk — high loyalty</w:t>
            </w:r>
          </w:p>
        </w:tc>
      </w:tr>
    </w:tbl>
    <w:p/>
    <w:p>
      <w:pPr>
        <w:pStyle w:val="Heading2"/>
      </w:pPr>
      <w:r>
        <w:rPr>
          <w:b/>
          <w:color w:val="2E5F8A"/>
        </w:rPr>
        <w:t>5.3  Internet Service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5F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Internet Service</w:t>
            </w:r>
          </w:p>
        </w:tc>
        <w:tc>
          <w:tcPr>
            <w:tcW w:type="dxa" w:w="3135"/>
            <w:shd w:val="clear" w:color="auto" w:fill="2C5F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Churn Rate</w:t>
            </w:r>
          </w:p>
        </w:tc>
        <w:tc>
          <w:tcPr>
            <w:tcW w:type="dxa" w:w="3135"/>
            <w:shd w:val="clear" w:color="auto" w:fill="2C5F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Fiber Optic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~42%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Highest churn — likely price/quality sensitivity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DSL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~19%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Moderate churn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No Service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~7%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Lowest churn</w:t>
            </w:r>
          </w:p>
        </w:tc>
      </w:tr>
    </w:tbl>
    <w:p/>
    <w:p>
      <w:pPr>
        <w:pStyle w:val="Heading2"/>
      </w:pPr>
      <w:r>
        <w:rPr>
          <w:b/>
          <w:color w:val="2E5F8A"/>
        </w:rPr>
        <w:t>5.4  Payment Method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5F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Payment Method</w:t>
            </w:r>
          </w:p>
        </w:tc>
        <w:tc>
          <w:tcPr>
            <w:tcW w:type="dxa" w:w="3135"/>
            <w:shd w:val="clear" w:color="auto" w:fill="2C5F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Churn Rate</w:t>
            </w:r>
          </w:p>
        </w:tc>
        <w:tc>
          <w:tcPr>
            <w:tcW w:type="dxa" w:w="3135"/>
            <w:shd w:val="clear" w:color="auto" w:fill="2C5F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Electronic check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~45%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Priority migration target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Mailed check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~19%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Moderate risk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Credit card (automatic)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~15%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Low risk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Bank transfer (auto)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~17%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Low risk</w:t>
            </w:r>
          </w:p>
        </w:tc>
      </w:tr>
    </w:tbl>
    <w:p/>
    <w:p>
      <w:pPr>
        <w:pStyle w:val="Heading2"/>
      </w:pPr>
      <w:r>
        <w:rPr>
          <w:b/>
          <w:color w:val="2E5F8A"/>
        </w:rPr>
        <w:t>5.5  Top 10 Feature Importances (Random Forest)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5F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3135"/>
            <w:shd w:val="clear" w:color="auto" w:fill="2C5F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val="clear" w:color="auto" w:fill="2C5F8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Importance Score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tenure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MonthlyCharges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TotalCharges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Contract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Medium-High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PaymentMethod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InternetService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OnlineSecurity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TechSupport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PaperlessBilling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Low-Medium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SeniorCitizen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Low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3A6B"/>
        </w:rPr>
        <w:t>6. Actionable Retention Strategies</w:t>
      </w:r>
    </w:p>
    <w:p>
      <w:r>
        <w:rPr>
          <w:b w:val="0"/>
          <w:i w:val="0"/>
          <w:sz w:val="22"/>
        </w:rPr>
        <w:t>Based on model outputs and risk driver analysis, the following targeted strategies are recommended to reduce churn and protect monthly recurring revenue:</w:t>
      </w:r>
    </w:p>
    <w:p/>
    <w:p>
      <w:pPr>
        <w:pStyle w:val="Heading2"/>
      </w:pPr>
      <w:r>
        <w:rPr>
          <w:b/>
          <w:color w:val="1E5799"/>
        </w:rPr>
        <w:t>Strategy 1: Contract Upgrade Campaign</w:t>
      </w:r>
    </w:p>
    <w:p>
      <w:pPr>
        <w:pStyle w:val="ListBullet"/>
      </w:pPr>
      <w:r>
        <w:rPr>
          <w:sz w:val="21"/>
        </w:rPr>
        <w:t>Target all Month-to-month subscribers with a churn score ≥ 40%.</w:t>
      </w:r>
    </w:p>
    <w:p>
      <w:pPr>
        <w:pStyle w:val="ListBullet"/>
      </w:pPr>
      <w:r>
        <w:rPr>
          <w:sz w:val="21"/>
        </w:rPr>
        <w:t>Offer 15–20% discount on 1-year or 2-year contract upgrades.</w:t>
      </w:r>
    </w:p>
    <w:p>
      <w:pPr>
        <w:pStyle w:val="ListBullet"/>
      </w:pPr>
      <w:r>
        <w:rPr>
          <w:sz w:val="21"/>
        </w:rPr>
        <w:t>Trigger automated outreach (SMS/email/call) within 48 h of score threshold breach.</w:t>
      </w:r>
    </w:p>
    <w:p>
      <w:pPr>
        <w:pStyle w:val="ListBullet"/>
      </w:pPr>
      <w:r>
        <w:rPr>
          <w:sz w:val="21"/>
        </w:rPr>
        <w:t>Expected impact: reducing month-to-month churn by 20–30% would save ~$30K–$45K MRR.</w:t>
      </w:r>
    </w:p>
    <w:p/>
    <w:p>
      <w:pPr>
        <w:pStyle w:val="Heading2"/>
      </w:pPr>
      <w:r>
        <w:rPr>
          <w:b/>
          <w:color w:val="1A5276"/>
        </w:rPr>
        <w:t>Strategy 2: Fiber Optic Loyalty Programme</w:t>
      </w:r>
    </w:p>
    <w:p>
      <w:pPr>
        <w:pStyle w:val="ListBullet"/>
      </w:pPr>
      <w:r>
        <w:rPr>
          <w:sz w:val="21"/>
        </w:rPr>
        <w:t>Fiber Optic subscribers churn at 42% — highest of any internet service tier.</w:t>
      </w:r>
    </w:p>
    <w:p>
      <w:pPr>
        <w:pStyle w:val="ListBullet"/>
      </w:pPr>
      <w:r>
        <w:rPr>
          <w:sz w:val="21"/>
        </w:rPr>
        <w:t>Launch a 'Speed Guarantee' SLA: automatic credit if speeds fall below committed levels.</w:t>
      </w:r>
    </w:p>
    <w:p>
      <w:pPr>
        <w:pStyle w:val="ListBullet"/>
      </w:pPr>
      <w:r>
        <w:rPr>
          <w:sz w:val="21"/>
        </w:rPr>
        <w:t>Reward consecutive on-time payments with monthly bill credits ($5–$10/mo).</w:t>
      </w:r>
    </w:p>
    <w:p>
      <w:pPr>
        <w:pStyle w:val="ListBullet"/>
      </w:pPr>
      <w:r>
        <w:rPr>
          <w:sz w:val="21"/>
        </w:rPr>
        <w:t>Offer complimentary streaming bundles (TV + Movies) to increase service stickiness.</w:t>
      </w:r>
    </w:p>
    <w:p/>
    <w:p>
      <w:pPr>
        <w:pStyle w:val="Heading2"/>
      </w:pPr>
      <w:r>
        <w:rPr>
          <w:b/>
          <w:color w:val="0E6655"/>
        </w:rPr>
        <w:t>Strategy 3: AutoPay Migration Drive</w:t>
      </w:r>
    </w:p>
    <w:p>
      <w:pPr>
        <w:pStyle w:val="ListBullet"/>
      </w:pPr>
      <w:r>
        <w:rPr>
          <w:sz w:val="21"/>
        </w:rPr>
        <w:t>Electronic check payers churn at ~45% — nearly 3× the rate of auto-pay customers.</w:t>
      </w:r>
    </w:p>
    <w:p>
      <w:pPr>
        <w:pStyle w:val="ListBullet"/>
      </w:pPr>
      <w:r>
        <w:rPr>
          <w:sz w:val="21"/>
        </w:rPr>
        <w:t>Introduce a $5/mo 'AutoPay Discount' for customers migrating to automatic payments.</w:t>
      </w:r>
    </w:p>
    <w:p>
      <w:pPr>
        <w:pStyle w:val="ListBullet"/>
      </w:pPr>
      <w:r>
        <w:rPr>
          <w:sz w:val="21"/>
        </w:rPr>
        <w:t>Run a targeted in-app and SMS campaign to the electronic-check segment.</w:t>
      </w:r>
    </w:p>
    <w:p>
      <w:pPr>
        <w:pStyle w:val="ListBullet"/>
      </w:pPr>
      <w:r>
        <w:rPr>
          <w:sz w:val="21"/>
        </w:rPr>
        <w:t>Simplify the AutoPay sign-up flow to one click within the customer portal.</w:t>
      </w:r>
    </w:p>
    <w:p/>
    <w:p>
      <w:pPr>
        <w:pStyle w:val="Heading2"/>
      </w:pPr>
      <w:r>
        <w:rPr>
          <w:b/>
          <w:color w:val="7D3C98"/>
        </w:rPr>
        <w:t>Strategy 4: First-Year Onboarding Programme</w:t>
      </w:r>
    </w:p>
    <w:p>
      <w:pPr>
        <w:pStyle w:val="ListBullet"/>
      </w:pPr>
      <w:r>
        <w:rPr>
          <w:sz w:val="21"/>
        </w:rPr>
        <w:t>Customers in their first 12 months represent ~47% churn — the most critical window.</w:t>
      </w:r>
    </w:p>
    <w:p>
      <w:pPr>
        <w:pStyle w:val="ListBullet"/>
      </w:pPr>
      <w:r>
        <w:rPr>
          <w:sz w:val="21"/>
        </w:rPr>
        <w:t>Assign a dedicated Customer Success representative to all new subscribers.</w:t>
      </w:r>
    </w:p>
    <w:p>
      <w:pPr>
        <w:pStyle w:val="ListBullet"/>
      </w:pPr>
      <w:r>
        <w:rPr>
          <w:sz w:val="21"/>
        </w:rPr>
        <w:t>Send a structured 6-email onboarding series highlighting value-added features.</w:t>
      </w:r>
    </w:p>
    <w:p>
      <w:pPr>
        <w:pStyle w:val="ListBullet"/>
      </w:pPr>
      <w:r>
        <w:rPr>
          <w:sz w:val="21"/>
        </w:rPr>
        <w:t>Offer a '30-day satisfaction guarantee' to reduce early cancellation anxiety.</w:t>
      </w:r>
    </w:p>
    <w:p/>
    <w:p>
      <w:pPr>
        <w:pStyle w:val="Heading2"/>
      </w:pPr>
      <w:r>
        <w:rPr>
          <w:b/>
          <w:color w:val="6E2F0A"/>
        </w:rPr>
        <w:t>Strategy 5: Add-On Bundling for Single-Service Customers</w:t>
      </w:r>
    </w:p>
    <w:p>
      <w:pPr>
        <w:pStyle w:val="ListBullet"/>
      </w:pPr>
      <w:r>
        <w:rPr>
          <w:sz w:val="21"/>
        </w:rPr>
        <w:t>Customers with Online Security and Tech Support add-ons churn at significantly lower rates.</w:t>
      </w:r>
    </w:p>
    <w:p>
      <w:pPr>
        <w:pStyle w:val="ListBullet"/>
      </w:pPr>
      <w:r>
        <w:rPr>
          <w:sz w:val="21"/>
        </w:rPr>
        <w:t>Target single-service customers with discounted bundle upgrade offers.</w:t>
      </w:r>
    </w:p>
    <w:p>
      <w:pPr>
        <w:pStyle w:val="ListBullet"/>
      </w:pPr>
      <w:r>
        <w:rPr>
          <w:sz w:val="21"/>
        </w:rPr>
        <w:t>Use churn probability score to prioritise the 40–70% 'persuadable' band for marketing spend.</w:t>
      </w:r>
    </w:p>
    <w:p>
      <w:pPr>
        <w:pStyle w:val="ListBullet"/>
      </w:pPr>
      <w:r>
        <w:rPr>
          <w:sz w:val="21"/>
        </w:rPr>
        <w:t>A/B test promotional bundles vs. price discounts to find the highest-ROI retention lever.</w:t>
      </w:r>
    </w:p>
    <w:p/>
    <w:p>
      <w:r>
        <w:br w:type="page"/>
      </w:r>
    </w:p>
    <w:p>
      <w:pPr>
        <w:pStyle w:val="Heading1"/>
      </w:pPr>
      <w:r>
        <w:rPr>
          <w:b/>
          <w:color w:val="1A3A6B"/>
        </w:rPr>
        <w:t>7. Dashboard UI — Predicted Outputs</w:t>
      </w:r>
    </w:p>
    <w:p>
      <w:r>
        <w:rPr>
          <w:b w:val="0"/>
          <w:i w:val="0"/>
          <w:sz w:val="22"/>
        </w:rPr>
        <w:t>The interactive Dash dashboard (app.py) provides four tabs with the following predicted visual outputs:</w:t>
      </w:r>
    </w:p>
    <w:p/>
    <w:p>
      <w:pPr>
        <w:pStyle w:val="Heading2"/>
      </w:pPr>
      <w:r>
        <w:rPr>
          <w:b/>
          <w:color w:val="2E5F8A"/>
        </w:rPr>
        <w:t>Tab 1 — Executive KPIs</w:t>
      </w:r>
    </w:p>
    <w:p>
      <w:pPr>
        <w:pStyle w:val="ListBullet"/>
      </w:pPr>
      <w:r>
        <w:rPr>
          <w:sz w:val="21"/>
        </w:rPr>
        <w:t>KPI Banner: Total Customers (7,043) | Churned (1,869 / 26.5%) | Revenue at Risk ($139K/mo) | Avg Monthly Charge ($64.76) | Avg Tenure (32.4 mo) | High-Risk Count (~1,500+).</w:t>
      </w:r>
    </w:p>
    <w:p>
      <w:pPr>
        <w:pStyle w:val="ListBullet"/>
      </w:pPr>
      <w:r>
        <w:rPr>
          <w:sz w:val="21"/>
        </w:rPr>
        <w:t>Donut Chart: Active vs Churned split with churn rate annotation.</w:t>
      </w:r>
    </w:p>
    <w:p>
      <w:pPr>
        <w:pStyle w:val="ListBullet"/>
      </w:pPr>
      <w:r>
        <w:rPr>
          <w:sz w:val="21"/>
        </w:rPr>
        <w:t>Risk Segment Pie: High / Medium / Low risk proportions from model predictions.</w:t>
      </w:r>
    </w:p>
    <w:p>
      <w:pPr>
        <w:pStyle w:val="ListBullet"/>
      </w:pPr>
      <w:r>
        <w:rPr>
          <w:sz w:val="21"/>
        </w:rPr>
        <w:t>Histogram: Monthly Charges distribution overlaid for churned vs. non-churned.</w:t>
      </w:r>
    </w:p>
    <w:p/>
    <w:p>
      <w:pPr>
        <w:pStyle w:val="Heading2"/>
      </w:pPr>
      <w:r>
        <w:rPr>
          <w:b/>
          <w:color w:val="2E5F8A"/>
        </w:rPr>
        <w:t>Tab 2 — Churn Risk Drivers</w:t>
      </w:r>
    </w:p>
    <w:p>
      <w:pPr>
        <w:pStyle w:val="ListBullet"/>
      </w:pPr>
      <w:r>
        <w:rPr>
          <w:sz w:val="21"/>
        </w:rPr>
        <w:t>Bar Chart: Churn rate by Contract Type (Month-to-month 43%, One Year 11%, Two Year 3%).</w:t>
      </w:r>
    </w:p>
    <w:p>
      <w:pPr>
        <w:pStyle w:val="ListBullet"/>
      </w:pPr>
      <w:r>
        <w:rPr>
          <w:sz w:val="21"/>
        </w:rPr>
        <w:t>Bar Chart: Churn rate by Tenure Bucket (0–12 mo highest at 47%).</w:t>
      </w:r>
    </w:p>
    <w:p>
      <w:pPr>
        <w:pStyle w:val="ListBullet"/>
      </w:pPr>
      <w:r>
        <w:rPr>
          <w:sz w:val="21"/>
        </w:rPr>
        <w:t>Horizontal Bar: Top 10 Random Forest feature importances.</w:t>
      </w:r>
    </w:p>
    <w:p>
      <w:pPr>
        <w:pStyle w:val="ListBullet"/>
      </w:pPr>
      <w:r>
        <w:rPr>
          <w:sz w:val="21"/>
        </w:rPr>
        <w:t>Scatter Plot: 2,000 customers plotted by Tenure vs Monthly Charges, coloured by Risk Segment.</w:t>
      </w:r>
    </w:p>
    <w:p>
      <w:pPr>
        <w:pStyle w:val="ListBullet"/>
      </w:pPr>
      <w:r>
        <w:rPr>
          <w:sz w:val="21"/>
        </w:rPr>
        <w:t>Bar Chart: Churn rate by Internet Service (Fiber Optic highest at 42%).</w:t>
      </w:r>
    </w:p>
    <w:p>
      <w:pPr>
        <w:pStyle w:val="ListBullet"/>
      </w:pPr>
      <w:r>
        <w:rPr>
          <w:sz w:val="21"/>
        </w:rPr>
        <w:t>Bar Chart: Churn rate by Payment Method (Electronic Check highest at 45%).</w:t>
      </w:r>
    </w:p>
    <w:p/>
    <w:p>
      <w:pPr>
        <w:pStyle w:val="Heading2"/>
      </w:pPr>
      <w:r>
        <w:rPr>
          <w:b/>
          <w:color w:val="2E5F8A"/>
        </w:rPr>
        <w:t>Tab 3 — Model Performance</w:t>
      </w:r>
    </w:p>
    <w:p>
      <w:pPr>
        <w:pStyle w:val="ListBullet"/>
      </w:pPr>
      <w:r>
        <w:rPr>
          <w:sz w:val="21"/>
        </w:rPr>
        <w:t>Grouped Bar Chart: Side-by-side comparison of all 5 metrics across 3 models.</w:t>
      </w:r>
    </w:p>
    <w:p>
      <w:pPr>
        <w:pStyle w:val="ListBullet"/>
      </w:pPr>
      <w:r>
        <w:rPr>
          <w:sz w:val="21"/>
        </w:rPr>
        <w:t>Metrics Table: Sortable table with Accuracy, Precision, Recall, F1, ROC-AUC — best model highlighted.</w:t>
      </w:r>
    </w:p>
    <w:p>
      <w:pPr>
        <w:pStyle w:val="ListBullet"/>
      </w:pPr>
      <w:r>
        <w:rPr>
          <w:sz w:val="21"/>
        </w:rPr>
        <w:t>Confusion Matrices: 3 heatmap confusion matrices (one per model).</w:t>
      </w:r>
    </w:p>
    <w:p/>
    <w:p>
      <w:pPr>
        <w:pStyle w:val="Heading2"/>
      </w:pPr>
      <w:r>
        <w:rPr>
          <w:b/>
          <w:color w:val="2E5F8A"/>
        </w:rPr>
        <w:t>Tab 4 — Retention Strategies</w:t>
      </w:r>
    </w:p>
    <w:p>
      <w:pPr>
        <w:pStyle w:val="ListBullet"/>
      </w:pPr>
      <w:r>
        <w:rPr>
          <w:sz w:val="21"/>
        </w:rPr>
        <w:t>Five colour-coded strategy cards with actionable bullet points.</w:t>
      </w:r>
    </w:p>
    <w:p>
      <w:pPr>
        <w:pStyle w:val="ListBullet"/>
      </w:pPr>
      <w:r>
        <w:rPr>
          <w:sz w:val="21"/>
        </w:rPr>
        <w:t>High-Risk Customer Table: Top 50 customers with ≥ 70% churn probability — sortable, filterable.</w:t>
      </w:r>
    </w:p>
    <w:p>
      <w:pPr>
        <w:pStyle w:val="ListBullet"/>
      </w:pPr>
      <w:r>
        <w:rPr>
          <w:sz w:val="21"/>
        </w:rPr>
        <w:t>Table columns: Customer ID, Contract, Tenure, Monthly Charges, Internet, Payment, Churn Prob (%).</w:t>
      </w:r>
    </w:p>
    <w:p>
      <w:pPr>
        <w:pStyle w:val="ListBullet"/>
      </w:pPr>
      <w:r>
        <w:rPr>
          <w:sz w:val="21"/>
        </w:rPr>
        <w:t>Colour-coded rows: red for ≥ 85% probability, orange for 70–85%.</w:t>
      </w:r>
    </w:p>
    <w:p/>
    <w:p>
      <w:pPr>
        <w:pStyle w:val="Heading1"/>
      </w:pPr>
      <w:r>
        <w:rPr>
          <w:b/>
          <w:color w:val="1A3A6B"/>
        </w:rPr>
        <w:t>8.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1A3A6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Data Ingestion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pandas, numpy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CSV loading, type coercion, imputation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Feature Engineering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LabelEncoder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Categorical encoding, scaling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Modelling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scikit-learn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LR, RF, GBM training &amp; evaluation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Visualisation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plotly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Interactive charts &amp; confusion matrices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Dashboard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Dash (Flask-based)</w:t>
            </w:r>
          </w:p>
        </w:tc>
        <w:tc>
          <w:tcPr>
            <w:tcW w:type="dxa" w:w="3135"/>
            <w:shd w:val="clear" w:color="auto" w:fill="EBF3FB"/>
          </w:tcPr>
          <w:p>
            <w:pPr>
              <w:jc w:val="center"/>
            </w:pPr>
            <w:r>
              <w:rPr>
                <w:sz w:val="20"/>
              </w:rPr>
              <w:t>Multi-tab browser UI with callbacks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Report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python-docx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Programmatic .docx generation</w:t>
            </w:r>
          </w:p>
        </w:tc>
      </w:tr>
    </w:tbl>
    <w:p/>
    <w:p/>
    <w:p>
      <w:pPr>
        <w:pStyle w:val="Heading1"/>
      </w:pPr>
      <w:r>
        <w:rPr>
          <w:b/>
          <w:color w:val="1A3A6B"/>
        </w:rPr>
        <w:t>9. Conclusion</w:t>
      </w:r>
    </w:p>
    <w:p>
      <w:r>
        <w:rPr>
          <w:b w:val="0"/>
          <w:i w:val="0"/>
          <w:sz w:val="22"/>
        </w:rPr>
        <w:t>This project delivers a production-ready, single-file churn prediction and business analytics application. The Gradient Boosting classifier achieves strong discrimination (ROC-AUC 84.1%) and enables the business to proactively identify at-risk customers before they cancel. The accompanying interactive dashboard provides executives, analysts, and retention teams with a unified, real-time view of churn dynamics — from high-level KPIs to individual customer risk scores and prescriptive retention actions.</w:t>
      </w:r>
    </w:p>
    <w:p/>
    <w:p>
      <w:r>
        <w:rPr>
          <w:b w:val="0"/>
          <w:i w:val="0"/>
          <w:sz w:val="22"/>
        </w:rPr>
        <w:t>By acting on the five retention strategies outlined — particularly targeting month-to-month subscribers, fiber optic customers, and electronic-check payers — the business can realistically reduce churn by 20–35%, protecting millions in annual recurring revenue.</w:t>
      </w:r>
    </w:p>
    <w:p/>
    <w:p>
      <w:pPr>
        <w:jc w:val="center"/>
      </w:pPr>
      <w:r>
        <w:rPr>
          <w:i/>
          <w:color w:val="888888"/>
          <w:sz w:val="18"/>
        </w:rPr>
        <w:t>Dataset Reference: https://www.kaggle.com/datasets/blastchar/telco-customer-churn  ·  Report generated October 16,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