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APPLE INC. (AAPL)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Stock Market Analysis Report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2022 – 2024  |  Python Data Analytics Project</w:t>
      </w:r>
    </w:p>
    <w:p>
      <w:pPr>
        <w:pBdr>
          <w:bottom w:val="single" w:color="2E75B6" w:sz="8"/>
        </w:pBdr>
        <w:spacing w:before="200" w:after="40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KEY METRICS AT A GLANCE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36"/>
                <w:szCs w:val="36"/>
              </w:rPr>
              <w:t xml:space="preserve">752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Trading Days Analyzed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36"/>
                <w:szCs w:val="36"/>
              </w:rPr>
              <w:t xml:space="preserve">-30.91%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36"/>
                <w:szCs w:val="36"/>
              </w:rPr>
              <w:t xml:space="preserve">0.37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Sharpe Ratio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36"/>
                <w:szCs w:val="36"/>
              </w:rPr>
              <w:t xml:space="preserve">0.49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Vol-Price Correlation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36"/>
                <w:szCs w:val="36"/>
              </w:rPr>
              <w:t xml:space="preserve">+18%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Best Month (Jul 2022)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36"/>
                <w:szCs w:val="36"/>
              </w:rPr>
              <w:t xml:space="preserve">-12%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Worst Month (Sep 2022)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hd w:fill="1F4E79" w:val="clear"/>
        <w:spacing w:before="200" w:after="20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1.  PROJECT OVERVIEW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project performs an end-to-end exploratory data analysis (EDA) of Apple Inc.'s (AAPL) stock performance over three full calendar years — 2022, 2023, and 2024. The objective was to apply real-world financial analysis techniques using Python to uncover meaningful patterns, quantify risk, and communicate insights through visualizations.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Fetch and clean 3 years of real market data using the yfinance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Engineer financial features including daily returns, moving averages, and rolling volatility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Identify price trends, market cycles, and seasonal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Quantify risk using industry-standard metrics: Sharpe Ratio and Maximum Drawdown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Analyze the relationship between trading volume and price movement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Present findings through a structured, story-driven Jupyter Notebook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Tools &amp; Libraries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Library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yfinance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Fetched real-time historical stock data from Yahoo Finance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pandas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loading, cleaning, transformation, and feature engineering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numpy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operations, percentage calculations, statistical math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matplotlib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charting engine — line plots, fill-between, scatter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seaborn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visualizations — histogram with KDE, heatmap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hd w:fill="1F4E79" w:val="clear"/>
        <w:spacing w:before="200" w:after="20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2.  DATA PIPELINE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 — Data Collection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Stock data was fetched using the yfinance library with auto_adjust=True (now default), which automatically adjusts closing prices for stock splits and dividends. This is critical for accurate historical analysis, as Apple has undergone stock splits during this period.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Source: Yahoo Finance via yfinance Python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Ticker: AAPL (Apple Inc., NASDAQ)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Date Range: January 1, 2022 — December 31,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Dataset Size: 752 trading days x 5 columns = 3,760 data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Columns: Close, High, Low, Open, Volume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saved locally to aapl_stock.csv to avoid redundant API calls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 — Data Cleaning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data health check was performed to validate quality before any analysis. Results confirmed a clean dataset requiring no imputation or filtering.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Zero null values across all 5 columns — no missing trading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Correct data types: OHLC prices as float64, Volume as int64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Multi-level column headers (Price/Ticker) flattened using get_level_values(0)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Date index correctly parsed as DatetimeIndex enabling time-series operations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3 — Feature Engineering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Four new analytical features were derived from the raw price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Daily Return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pct_change() on Close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day-over-day % gain or loss — core unit of return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7-Day 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rolling(7).mean()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Short-term trend smoother — captures recent momentum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30-Day 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rolling(30).mean()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Medium-term trend — signals broader directional shifts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Volatility (30D)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rolling(30).std() on returns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indicator — high std = high uncertainty in that period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hd w:fill="1F4E79" w:val="clear"/>
        <w:spacing w:before="200" w:after="20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3.  ANALYSIS &amp; VISUALIZATIONS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before="200" w:after="60"/>
        <w:ind w:left="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  PLOT 1  —  Price Trend with Moving Averages</w:t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Was Done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multi-line chart was plotted showing AAPL's daily Close price overlaid with the 7-Day and 30-Day moving averages across the full 3-year period.</w:t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How It Was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plt.plot() used three times — once per series (Close, MA_7, MA_30)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Dashed linestyle (--) applied to moving averages to visually separate them from raw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sns.set_theme(darkgrid) applied for professional chart styling</w:t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Conclusions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AAPL fell from ~$178 to a low near $123 by mid-2022, a drop of ~31%, triggered by the Federal Reserve's aggressive interest rate hike cycle. Growth stocks like Apple are especially sensitive to rising rates as they compress future earnings valuations. </w:t>
      </w:r>
      <w:r>
        <w:rPr>
          <w:rFonts w:ascii="Arial" w:cs="Arial" w:eastAsia="Arial" w:hAnsi="Arial"/>
          <w:sz w:val="22"/>
          <w:szCs w:val="22"/>
        </w:rPr>
        <w:t xml:space="preserve">2022 Collapse: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sustained recovery began in early 2023. The 7-Day MA crossed above the 30-Day MA multiple times — a technical signal called a 'Golden Cross' — indicating renewed buying momentum. </w:t>
      </w:r>
      <w:r>
        <w:rPr>
          <w:rFonts w:ascii="Arial" w:cs="Arial" w:eastAsia="Arial" w:hAnsi="Arial"/>
          <w:sz w:val="22"/>
          <w:szCs w:val="22"/>
        </w:rPr>
        <w:t xml:space="preserve">2023 Recovery: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 action became range-bound and less volatile, suggesting the market reached a fair-value consensus for AAPL after the extreme 2022–2023 cycle. </w:t>
      </w:r>
      <w:r>
        <w:rPr>
          <w:rFonts w:ascii="Arial" w:cs="Arial" w:eastAsia="Arial" w:hAnsi="Arial"/>
          <w:sz w:val="22"/>
          <w:szCs w:val="22"/>
        </w:rPr>
        <w:t xml:space="preserve">2024 Stabilization: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the 30-Day MA acts as a support floor (price bounces off it), it signals institutional buying. This pattern is visible clearly in mid-2023. </w:t>
      </w:r>
      <w:r>
        <w:rPr>
          <w:rFonts w:ascii="Arial" w:cs="Arial" w:eastAsia="Arial" w:hAnsi="Arial"/>
          <w:sz w:val="22"/>
          <w:szCs w:val="22"/>
        </w:rPr>
        <w:t xml:space="preserve">MA as Trend Indicator: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before="200" w:after="60"/>
        <w:ind w:left="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  PLOT 2  —  Daily Returns Distribution</w:t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Was Done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histogram with a KDE (Kernel Density Estimate) overlay was plotted showing the distribution of all 751 daily return values over the 3-year period.</w:t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How It Was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sns.histplot() with bins=80 and kde=True provides both frequency bars and a smooth probability density curve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Daily_Return column was computed via pct_change() and NaN dropped before plotting</w:t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Conclusions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return distribution is roughly bell-shaped and centered near 0%, which is expected for large-cap stocks in an efficient market. </w:t>
      </w:r>
      <w:r>
        <w:rPr>
          <w:rFonts w:ascii="Arial" w:cs="Arial" w:eastAsia="Arial" w:hAnsi="Arial"/>
          <w:sz w:val="22"/>
          <w:szCs w:val="22"/>
        </w:rPr>
        <w:t xml:space="preserve">Near-Normal Distribution: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There are more extreme-return days than a perfect normal distribution would predict. These tail events correspond to earnings announcements, Fed decisions, and macro shocks. </w:t>
      </w:r>
      <w:r>
        <w:rPr>
          <w:rFonts w:ascii="Arial" w:cs="Arial" w:eastAsia="Arial" w:hAnsi="Arial"/>
          <w:sz w:val="22"/>
          <w:szCs w:val="22"/>
        </w:rPr>
        <w:t xml:space="preserve">Fat Tails Present: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Given that 2022 was a down year dominating the dataset, the distribution likely shows a slight left skew — meaning bad days were marginally more frequent than great days. </w:t>
      </w:r>
      <w:r>
        <w:rPr>
          <w:rFonts w:ascii="Arial" w:cs="Arial" w:eastAsia="Arial" w:hAnsi="Arial"/>
          <w:sz w:val="22"/>
          <w:szCs w:val="22"/>
        </w:rPr>
        <w:t xml:space="preserve">Slight Negative Skew: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spread of returns (the width of the bell) quantifies how much daily price uncertainty an investor in AAPL was exposed to. A tighter bell = more predictable; wider = riskier. </w:t>
      </w:r>
      <w:r>
        <w:rPr>
          <w:rFonts w:ascii="Arial" w:cs="Arial" w:eastAsia="Arial" w:hAnsi="Arial"/>
          <w:sz w:val="22"/>
          <w:szCs w:val="22"/>
        </w:rPr>
        <w:t xml:space="preserve">Practical Implication: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before="200" w:after="60"/>
        <w:ind w:left="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  PLOT 3  —  30-Day Rolling Volatility</w:t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Was Done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time-series area chart was plotted showing how the 30-Day rolling standard deviation of daily returns evolved over time — a dynamic measure of market risk.</w:t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How It Was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fill_between() used to shade the area under the volatility curve, improving visual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Volatility_30 calculated as rolling(30).std() applied to the Daily_Return column</w:t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Conclusions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Multiple sharp spikes in early-to-mid 2022 reflect the market's panic response to Fed rate hike announcements — volatility is a fear gauge. </w:t>
      </w:r>
      <w:r>
        <w:rPr>
          <w:rFonts w:ascii="Arial" w:cs="Arial" w:eastAsia="Arial" w:hAnsi="Arial"/>
          <w:sz w:val="22"/>
          <w:szCs w:val="22"/>
        </w:rPr>
        <w:t xml:space="preserve">2022 Volatility Spikes: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each spike, volatility consistently declines back to baseline — a well-documented market behavior known as 'volatility clustering and mean reversion.' </w:t>
      </w:r>
      <w:r>
        <w:rPr>
          <w:rFonts w:ascii="Arial" w:cs="Arial" w:eastAsia="Arial" w:hAnsi="Arial"/>
          <w:sz w:val="22"/>
          <w:szCs w:val="22"/>
        </w:rPr>
        <w:t xml:space="preserve">Volatility Mean Reversion: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Volatility progressively compressed in 2023 and 2024, suggesting stabilizing investor expectations and reduced macro uncertainty. </w:t>
      </w:r>
      <w:r>
        <w:rPr>
          <w:rFonts w:ascii="Arial" w:cs="Arial" w:eastAsia="Arial" w:hAnsi="Arial"/>
          <w:sz w:val="22"/>
          <w:szCs w:val="22"/>
        </w:rPr>
        <w:t xml:space="preserve">2023–2024 Compression: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 investor watching this chart would reduce position size during high-volatility spikes and potentially increase exposure during compressed volatility periods — this is how professional risk managers operate. </w:t>
      </w:r>
      <w:r>
        <w:rPr>
          <w:rFonts w:ascii="Arial" w:cs="Arial" w:eastAsia="Arial" w:hAnsi="Arial"/>
          <w:sz w:val="22"/>
          <w:szCs w:val="22"/>
        </w:rPr>
        <w:t xml:space="preserve">Risk Management Insight: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before="200" w:after="60"/>
        <w:ind w:left="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  PLOT 4  —  Monthly Returns Heatmap</w:t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Was Done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Daily returns were aggregated by month and year, then visualized as a color-coded grid (red = negative, green = positive) showing performance across all 36 months.</w:t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How It Was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groupby(['Year','Month']) applied to sum daily returns into monthly totals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unstack(0) reshapes the Series into a Month x Year matrix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sns.heatmap() with RdYlGn colormap and center=0 ensures meaningful red/green divergence</w:t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Conclusions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 of 12 months in 2022 were red. Only March (+6%) and July (+18%) bucked the trend — driven by earnings beats that temporarily overrode macro fears. </w:t>
      </w:r>
      <w:r>
        <w:rPr>
          <w:rFonts w:ascii="Arial" w:cs="Arial" w:eastAsia="Arial" w:hAnsi="Arial"/>
          <w:sz w:val="22"/>
          <w:szCs w:val="22"/>
        </w:rPr>
        <w:t xml:space="preserve">2022 Was Broadly Negative: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September was negative in both 2022 (-12%) and 2023 (-9%) — the only month negative in consecutive years. This aligns with the well-documented 'September Effect,' the statistically worst month for US equities historically. </w:t>
      </w:r>
      <w:r>
        <w:rPr>
          <w:rFonts w:ascii="Arial" w:cs="Arial" w:eastAsia="Arial" w:hAnsi="Arial"/>
          <w:sz w:val="22"/>
          <w:szCs w:val="22"/>
        </w:rPr>
        <w:t xml:space="preserve">September Effect Confirmed: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single biggest monthly return in the entire dataset occurred in the middle of the worst year — driven by Apple's Q3 2022 earnings beat, demonstrating that stock-specific catalysts can override macro headwinds. </w:t>
      </w:r>
      <w:r>
        <w:rPr>
          <w:rFonts w:ascii="Arial" w:cs="Arial" w:eastAsia="Arial" w:hAnsi="Arial"/>
          <w:sz w:val="22"/>
          <w:szCs w:val="22"/>
        </w:rPr>
        <w:t xml:space="preserve">July 2022 Anomaly (+18%):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 of 12 months in 2023 were green, confirming a structural regime change from bear to bull market for AAPL. </w:t>
      </w:r>
      <w:r>
        <w:rPr>
          <w:rFonts w:ascii="Arial" w:cs="Arial" w:eastAsia="Arial" w:hAnsi="Arial"/>
          <w:sz w:val="22"/>
          <w:szCs w:val="22"/>
        </w:rPr>
        <w:t xml:space="preserve">2023 Recovery Was Broad: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Swings became more moderate in 2024, with no month exceeding ±13% — consistent with a maturing rally rather than a volatile recovery. </w:t>
      </w:r>
      <w:r>
        <w:rPr>
          <w:rFonts w:ascii="Arial" w:cs="Arial" w:eastAsia="Arial" w:hAnsi="Arial"/>
          <w:sz w:val="22"/>
          <w:szCs w:val="22"/>
        </w:rPr>
        <w:t xml:space="preserve">2024 Shows Balanced Maturity:</w:t>
      </w:r>
    </w:p>
    <w:p>
      <w:pPr>
        <w:spacing w:before="80" w:after="80"/>
      </w:pPr>
      <w:r>
        <w:t xml:space="preserve"/>
      </w:r>
    </w:p>
    <w:p>
      <w:pPr>
        <w:shd w:fill="1F4E79" w:val="clear"/>
        <w:spacing w:before="200" w:after="20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4.  RISK METRICS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before="200" w:after="60"/>
        <w:ind w:left="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  METRIC 1  —  Sharpe Ratio</w:t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Was Done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Sharpe Ratio was calculated to measure risk-adjusted return — how much return AAPL generated per unit of risk taken over the 3-year period.</w:t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How It Was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Risk-free rate set at 5% annually (reflecting the prevailing US Treasury rate), converted to daily: 0.05 / 252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Excess return = Daily Return minus risk-free rate, annualized using sqrt(252)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Formula: (mean excess return / std of excess return) x sqrt(252)</w:t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Result: Sharpe Ratio = 0.37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Sharpe of 0.37 means AAPL returned less than 1 unit of profit per unit of risk taken — not considered efficient compensation for the volatility experienced. </w:t>
      </w:r>
      <w:r>
        <w:rPr>
          <w:rFonts w:ascii="Arial" w:cs="Arial" w:eastAsia="Arial" w:hAnsi="Arial"/>
          <w:sz w:val="22"/>
          <w:szCs w:val="22"/>
        </w:rPr>
        <w:t xml:space="preserve">Below 1.0: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2022 bear market dragged the 3-year average return down significantly. In isolation, 2023 and 2024 would show a much higher Sharpe. </w:t>
      </w:r>
      <w:r>
        <w:rPr>
          <w:rFonts w:ascii="Arial" w:cs="Arial" w:eastAsia="Arial" w:hAnsi="Arial"/>
          <w:sz w:val="22"/>
          <w:szCs w:val="22"/>
        </w:rPr>
        <w:t xml:space="preserve">Why So 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not a signal that AAPL is a bad investment — it reflects a specific 3-year window dominated by one of the worst tech selloffs in a decade. Comparing AAPL's Sharpe against peers (TSLA, GOOGL) would add context. </w:t>
      </w:r>
      <w:r>
        <w:rPr>
          <w:rFonts w:ascii="Arial" w:cs="Arial" w:eastAsia="Arial" w:hAnsi="Arial"/>
          <w:sz w:val="22"/>
          <w:szCs w:val="22"/>
        </w:rPr>
        <w:t xml:space="preserve">Contextual Insight: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before="200" w:after="60"/>
        <w:ind w:left="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  METRIC 2  —  Maximum Drawdown</w:t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Was Done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Drawdown analysis measured how far AAPL's price fell from its running peak at each point in time, revealing the worst loss an investor could have experienced.</w:t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How It Was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cummax() computed the running all-time high of the Close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Drawdown = (Close - Rolling Max) / Rolling Max — always a negative percentage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fill_between() used to create a red-shaded area chart</w:t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Result: Maximum Drawdown = -30.91%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 investor who bought AAPL at its January 2022 peak would have seen their position fall nearly 31% at the worst point — a significant paper loss. </w:t>
      </w:r>
      <w:r>
        <w:rPr>
          <w:rFonts w:ascii="Arial" w:cs="Arial" w:eastAsia="Arial" w:hAnsi="Arial"/>
          <w:sz w:val="22"/>
          <w:szCs w:val="22"/>
        </w:rPr>
        <w:t xml:space="preserve">Severity: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chart would show the drawdown recovering back toward 0% through 2023, meaning the stock fully reclaimed its lost ground. </w:t>
      </w:r>
      <w:r>
        <w:rPr>
          <w:rFonts w:ascii="Arial" w:cs="Arial" w:eastAsia="Arial" w:hAnsi="Arial"/>
          <w:sz w:val="22"/>
          <w:szCs w:val="22"/>
        </w:rPr>
        <w:t xml:space="preserve">Recovery: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-30.91% drawdown is painful but not extreme for a tech stock in a rate-hike environment. Many peers (TSLA, GOOGL) experienced drawdowns of 50–70% in the same period. </w:t>
      </w:r>
      <w:r>
        <w:rPr>
          <w:rFonts w:ascii="Arial" w:cs="Arial" w:eastAsia="Arial" w:hAnsi="Arial"/>
          <w:sz w:val="22"/>
          <w:szCs w:val="22"/>
        </w:rPr>
        <w:t xml:space="preserve">Benchmark Context: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metric answers the question every investor actually cares about: 'What's the worst I could have lost?' — making it more intuitive than standard deviation alone. </w:t>
      </w:r>
      <w:r>
        <w:rPr>
          <w:rFonts w:ascii="Arial" w:cs="Arial" w:eastAsia="Arial" w:hAnsi="Arial"/>
          <w:sz w:val="22"/>
          <w:szCs w:val="22"/>
        </w:rPr>
        <w:t xml:space="preserve">Risk Management Lesson: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before="200" w:after="60"/>
        <w:ind w:left="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  METRIC 3  —  Volume vs. Price Movement Correlation</w:t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Was Done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scatter plot and correlation coefficient were computed between daily trading volume and the absolute daily return, testing whether high-volume days tend to be high-movement days.</w:t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How It Was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Abs_Return = abs(Daily_Return) — takes the magnitude regardless of direction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sns.scatterplot() visualized each trading day as a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df['Volume'].corr(df['Abs_Return']) computed Pearson correlation</w:t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Result: Correlation = 0.49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value of 0.49 confirms a meaningful but imperfect relationship — when more shares trade hands, prices tend to move more. </w:t>
      </w:r>
      <w:r>
        <w:rPr>
          <w:rFonts w:ascii="Arial" w:cs="Arial" w:eastAsia="Arial" w:hAnsi="Arial"/>
          <w:sz w:val="22"/>
          <w:szCs w:val="22"/>
        </w:rPr>
        <w:t xml:space="preserve">Moderate Positive Correlation: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Some high-volume days occur due to index rebalancing or passive fund flows, which move shares without necessarily reflecting directional conviction. </w:t>
      </w:r>
      <w:r>
        <w:rPr>
          <w:rFonts w:ascii="Arial" w:cs="Arial" w:eastAsia="Arial" w:hAnsi="Arial"/>
          <w:sz w:val="22"/>
          <w:szCs w:val="22"/>
        </w:rPr>
        <w:t xml:space="preserve">Why Not Higher: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Traders use volume as a confirmation signal — a price breakout on high volume is considered more reliable than one on low volume. This data supports that intuition. </w:t>
      </w:r>
      <w:r>
        <w:rPr>
          <w:rFonts w:ascii="Arial" w:cs="Arial" w:eastAsia="Arial" w:hAnsi="Arial"/>
          <w:sz w:val="22"/>
          <w:szCs w:val="22"/>
        </w:rPr>
        <w:t xml:space="preserve">Analytical Implication: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scatter plot would reveal a few extreme outliers — days with very high volume AND very large moves. These almost certainly correspond to earnings announcement days. </w:t>
      </w:r>
      <w:r>
        <w:rPr>
          <w:rFonts w:ascii="Arial" w:cs="Arial" w:eastAsia="Arial" w:hAnsi="Arial"/>
          <w:sz w:val="22"/>
          <w:szCs w:val="22"/>
        </w:rPr>
        <w:t xml:space="preserve">Outlier Days: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hd w:fill="1F4E79" w:val="clear"/>
        <w:spacing w:before="200" w:after="20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5.  OVERALL CONCLUSIONS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Combining all analyses, a coherent narrative emerges about Apple's stock behavior over this 3-year period: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The Big Picture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AAPL lost ~31% from peak to trough, not due to any fundamental weakness in Apple's business, but because rising interest rates repriced all growth assets downward. This is a crucial distinction — the company performed well; the market environment did not. </w:t>
      </w:r>
      <w:r>
        <w:rPr>
          <w:rFonts w:ascii="Arial" w:cs="Arial" w:eastAsia="Arial" w:hAnsi="Arial"/>
          <w:sz w:val="22"/>
          <w:szCs w:val="22"/>
        </w:rPr>
        <w:t xml:space="preserve">2022 Was a Macro-Driven Bear Market: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rate hike fears peaked and the Fed signaled a pause, tech stocks rebounded sharply. AAPL's 2023 return was strongly positive with 9 green months, demonstrating how macro tailwinds can drive prices regardless of company news. </w:t>
      </w:r>
      <w:r>
        <w:rPr>
          <w:rFonts w:ascii="Arial" w:cs="Arial" w:eastAsia="Arial" w:hAnsi="Arial"/>
          <w:sz w:val="22"/>
          <w:szCs w:val="22"/>
        </w:rPr>
        <w:t xml:space="preserve">2023 Was a Structural Recovery: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Reduced volatility and more balanced monthly returns in 2024 suggest the market reached an equilibrium valuation for AAPL after the extreme cycle of 2022–2023. </w:t>
      </w:r>
      <w:r>
        <w:rPr>
          <w:rFonts w:ascii="Arial" w:cs="Arial" w:eastAsia="Arial" w:hAnsi="Arial"/>
          <w:sz w:val="22"/>
          <w:szCs w:val="22"/>
        </w:rPr>
        <w:t xml:space="preserve">2024 Reflects Maturation: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Statistical Findings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Sharpe Ratio of 0.37 over this period was suppressed by the 2022 drawdown — it should not be read as a long-term performance indicator for Apple.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maximum drawdown of -30.91% highlights the importance of entry timing and position sizing, even for blue-chip stocks.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0.49 volume-return correlation provides practical signal value for identifying high-conviction trading days.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September is structurally weak for AAPL — appearing as the worst or near-worst month in two consecutive years, consistent with seasonal equity market patterns.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This Project Demonstrates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End-to-end data pipeline: API ingestion, cleaning, feature engineering, visualization, and insight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 financial domain knowledge: moving averages, Sharpe ratio, drawdown, volatility — not just generic EDA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Analytical thinking: connecting chart patterns to real-world events (rate hikes, earnings, Fed decisions)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Communication: structuring findings as a narrative, not just a series of charts</w:t>
      </w:r>
    </w:p>
    <w:p>
      <w:pPr>
        <w:spacing w:before="80" w:after="80"/>
      </w:pPr>
      <w:r>
        <w:t xml:space="preserve"/>
      </w:r>
    </w:p>
    <w:p>
      <w:pPr>
        <w:pBdr>
          <w:top w:val="single" w:color="2E75B6" w:sz="6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Apple Inc. Stock Analysis  |  Built with Python, pandas, numpy, matplotlib, seaborn  |  2025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Apple Inc. (AAPL) Stock Market Analysis  |  2022–2024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2026-03-22T16:34:40.775Z</dcterms:created>
  <dcterms:modified xsi:type="dcterms:W3CDTF">2026-03-22T16:34:40.776Z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