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BC0BF">
      <w:pPr>
        <w:spacing w:line="278" w:lineRule="auto"/>
        <w:jc w:val="center"/>
        <w:rPr>
          <w:rFonts w:ascii="Arial" w:hAnsi="Arial" w:eastAsia="Arial" w:cs="Arial"/>
          <w:b/>
          <w:color w:val="auto"/>
          <w:szCs w:val="20"/>
          <w:lang w:eastAsia="en-US" w:bidi="hi-IN"/>
        </w:rPr>
      </w:pPr>
      <w:r>
        <w:rPr>
          <w:rFonts w:ascii="Arial" w:hAnsi="Arial" w:eastAsia="Arial" w:cs="Arial"/>
          <w:b/>
          <w:color w:val="auto"/>
          <w:szCs w:val="20"/>
          <w:lang w:eastAsia="en-US" w:bidi="hi-IN"/>
        </w:rPr>
        <w:t>VII SEMESTER BE-COMPUTER SCIENCE AND ENGINEERING – 202</w:t>
      </w:r>
      <w:r>
        <w:rPr>
          <w:rFonts w:hint="default" w:ascii="Arial" w:hAnsi="Arial" w:eastAsia="Arial" w:cs="Arial"/>
          <w:b/>
          <w:color w:val="auto"/>
          <w:szCs w:val="20"/>
          <w:lang w:val="en-IN" w:eastAsia="en-US" w:bidi="hi-IN"/>
        </w:rPr>
        <w:t>6</w:t>
      </w:r>
      <w:r>
        <w:rPr>
          <w:rFonts w:ascii="Arial" w:hAnsi="Arial" w:eastAsia="Arial" w:cs="Arial"/>
          <w:b/>
          <w:color w:val="auto"/>
          <w:szCs w:val="20"/>
          <w:lang w:eastAsia="en-US" w:bidi="hi-IN"/>
        </w:rPr>
        <w:t>-2</w:t>
      </w:r>
      <w:r>
        <w:rPr>
          <w:rFonts w:hint="default" w:ascii="Arial" w:hAnsi="Arial" w:eastAsia="Arial" w:cs="Arial"/>
          <w:b/>
          <w:color w:val="auto"/>
          <w:szCs w:val="20"/>
          <w:lang w:val="en-IN" w:eastAsia="en-US" w:bidi="hi-IN"/>
        </w:rPr>
        <w:t>7</w:t>
      </w:r>
      <w:r>
        <w:rPr>
          <w:rFonts w:ascii="Arial" w:hAnsi="Arial" w:eastAsia="Arial" w:cs="Arial"/>
          <w:b/>
          <w:color w:val="auto"/>
          <w:szCs w:val="20"/>
          <w:lang w:eastAsia="en-US" w:bidi="hi-IN"/>
        </w:rPr>
        <w:t xml:space="preserve"> </w:t>
      </w:r>
    </w:p>
    <w:p w14:paraId="10BB3711">
      <w:pPr>
        <w:suppressAutoHyphens w:val="0"/>
        <w:spacing w:line="278" w:lineRule="auto"/>
        <w:jc w:val="center"/>
        <w:rPr>
          <w:rFonts w:hint="default" w:ascii="Arial" w:hAnsi="Arial" w:eastAsia="Arial" w:cs="Arial"/>
          <w:b/>
          <w:bCs/>
          <w:color w:val="auto"/>
          <w:szCs w:val="20"/>
          <w:lang w:val="en-IN" w:eastAsia="en-US" w:bidi="hi-IN"/>
        </w:rPr>
      </w:pPr>
      <w:r>
        <w:rPr>
          <w:rFonts w:ascii="Arial" w:hAnsi="Arial" w:eastAsia="Arial" w:cs="Arial"/>
          <w:b/>
          <w:bCs/>
          <w:color w:val="auto"/>
          <w:szCs w:val="20"/>
          <w:lang w:eastAsia="en-US" w:bidi="hi-IN"/>
        </w:rPr>
        <w:t>Project Phase I</w:t>
      </w:r>
      <w:r>
        <w:rPr>
          <w:rFonts w:hint="default" w:ascii="Arial" w:hAnsi="Arial" w:eastAsia="Arial" w:cs="Arial"/>
          <w:b/>
          <w:bCs/>
          <w:color w:val="auto"/>
          <w:szCs w:val="20"/>
          <w:lang w:val="en-IN" w:eastAsia="en-US" w:bidi="hi-IN"/>
        </w:rPr>
        <w:t xml:space="preserve"> (</w:t>
      </w:r>
      <w:r>
        <w:rPr>
          <w:rFonts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UC3001-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</w:t>
      </w:r>
      <w:r>
        <w:rPr>
          <w:rFonts w:hint="default" w:ascii="Arial" w:hAnsi="Arial" w:eastAsia="Arial" w:cs="Arial"/>
          <w:b/>
          <w:bCs/>
          <w:color w:val="auto"/>
          <w:szCs w:val="20"/>
          <w:lang w:val="en-IN" w:eastAsia="en-US" w:bidi="hi-IN"/>
        </w:rPr>
        <w:t>)</w:t>
      </w:r>
    </w:p>
    <w:p w14:paraId="2069179D">
      <w:pPr>
        <w:suppressAutoHyphens w:val="0"/>
        <w:spacing w:line="278" w:lineRule="auto"/>
        <w:jc w:val="center"/>
        <w:rPr>
          <w:rFonts w:ascii="Arial" w:hAnsi="Arial" w:eastAsia="Arial" w:cs="Arial"/>
          <w:b/>
          <w:color w:val="auto"/>
          <w:szCs w:val="20"/>
          <w:u w:val="single"/>
          <w:lang w:eastAsia="en-US" w:bidi="hi-IN"/>
        </w:rPr>
      </w:pPr>
      <w:r>
        <w:rPr>
          <w:rFonts w:ascii="Arial" w:hAnsi="Arial" w:eastAsia="Arial" w:cs="Arial"/>
          <w:b/>
          <w:color w:val="auto"/>
          <w:szCs w:val="20"/>
          <w:u w:val="single"/>
          <w:lang w:eastAsia="en-US" w:bidi="hi-IN"/>
        </w:rPr>
        <w:t>Weekly Progress Report</w:t>
      </w:r>
    </w:p>
    <w:p w14:paraId="0E73F9F0">
      <w:pPr>
        <w:suppressAutoHyphens w:val="0"/>
        <w:spacing w:line="0" w:lineRule="atLeast" w:before="40" w:after="40"/>
        <w:ind w:firstLineChars="3750" w:firstLine="0"/>
        <w:jc w:val="right"/>
        <w:rPr>
          <w:rFonts w:ascii="Arial" w:hAnsi="Arial" w:eastAsia="Arial" w:cs="Arial"/>
          <w:color w:val="auto"/>
          <w:szCs w:val="20"/>
          <w:lang w:eastAsia="en-US" w:bidi="hi-IN"/>
        </w:rPr>
      </w:pPr>
      <w:r>
        <w:rPr>
          <w:rFonts w:ascii="Times New Roman" w:hAnsi="Times New Roman"/>
          <w:sz w:val="21"/>
        </w:rPr>
        <w:t>Date: 28/09/2026</w:t>
      </w:r>
    </w:p>
    <w:p w14:paraId="304FC25E">
      <w:pPr>
        <w:suppressAutoHyphens w:val="0"/>
        <w:spacing w:line="0" w:lineRule="atLeast" w:before="60" w:after="60"/>
        <w:rPr>
          <w:rFonts w:hint="default" w:ascii="Times New Roman" w:hAnsi="Times New Roman" w:eastAsia="Arial" w:cs="Times New Roman"/>
          <w:b/>
          <w:color w:val="auto"/>
          <w:sz w:val="21"/>
          <w:szCs w:val="20"/>
          <w:lang w:eastAsia="en-US" w:bidi="hi-IN"/>
        </w:rPr>
      </w:pPr>
      <w:r>
        <w:rPr>
          <w:rFonts w:ascii="Times New Roman" w:hAnsi="Times New Roman"/>
          <w:b/>
          <w:sz w:val="22"/>
        </w:rPr>
        <w:t>Project Title: Creditz – Institutional Academic &amp; Extra-Curricular Activity Credit Management System with AI-Assisted Verification and GraphRAG</w:t>
      </w:r>
    </w:p>
    <w:p w14:paraId="55DD7696">
      <w:pPr>
        <w:suppressAutoHyphens w:val="0"/>
        <w:spacing w:line="0" w:lineRule="atLeast" w:before="60" w:after="120"/>
        <w:rPr>
          <w:rFonts w:hint="default" w:ascii="Times New Roman" w:hAnsi="Times New Roman" w:eastAsia="Arial" w:cs="Times New Roman"/>
          <w:b/>
          <w:color w:val="auto"/>
          <w:szCs w:val="20"/>
          <w:lang w:val="en-IN" w:eastAsia="en-US" w:bidi="hi-IN"/>
        </w:rPr>
      </w:pPr>
      <w:r>
        <w:rPr>
          <w:rFonts w:hint="default" w:ascii="Times New Roman" w:hAnsi="Times New Roman" w:eastAsia="Arial" w:cs="Times New Roman"/>
          <w:b/>
          <w:color w:val="auto"/>
          <w:szCs w:val="20"/>
          <w:lang w:val="en-IN" w:eastAsia="en-US" w:bidi="hi-IN"/>
        </w:rPr>
        <w:t>Name of the Guide: ____________________________________________</w:t>
      </w:r>
    </w:p>
    <w:bookmarkEnd w:id="0"/>
    <w:tbl>
      <w:tblPr>
        <w:tblStyle w:val="3"/>
        <w:tblpPr w:leftFromText="180" w:rightFromText="180" w:vertAnchor="text" w:horzAnchor="page" w:tblpX="928" w:tblpY="233"/>
        <w:tblOverlap w:val="never"/>
        <w:tblW w:w="10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8"/>
        <w:gridCol w:w="1729"/>
        <w:gridCol w:w="1910"/>
        <w:gridCol w:w="2052"/>
        <w:gridCol w:w="1681"/>
        <w:gridCol w:w="1233"/>
        <w:gridCol w:w="1233"/>
      </w:tblGrid>
      <w:tr w14:paraId="5E74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cantSplit/>
        </w:trPr>
        <w:tc>
          <w:tcPr>
            <w:tcW w:w="898" w:type="dxa"/>
            <w:shd w:val="clear" w:color="auto" w:fill="auto"/>
            <w:vAlign w:val="bottom"/>
          </w:tcPr>
          <w:p w14:paraId="3003FA11">
            <w:pPr>
              <w:suppressAutoHyphens w:val="0"/>
              <w:spacing w:line="0" w:lineRule="atLeast"/>
              <w:ind w:left="60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  <w:t xml:space="preserve">Week </w:t>
            </w:r>
            <w:r>
              <w:rPr>
                <w:rFonts w:hint="default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  <w:t>with date</w:t>
            </w:r>
          </w:p>
        </w:tc>
        <w:tc>
          <w:tcPr>
            <w:tcW w:w="1729" w:type="dxa"/>
            <w:shd w:val="clear" w:color="auto" w:fill="auto"/>
            <w:vAlign w:val="bottom"/>
          </w:tcPr>
          <w:p w14:paraId="440EE736">
            <w:pPr>
              <w:suppressAutoHyphens w:val="0"/>
              <w:spacing w:line="0" w:lineRule="atLeast"/>
              <w:ind w:left="60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  <w:t>Tasks achieved this week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2E425A18">
            <w:pPr>
              <w:suppressAutoHyphens w:val="0"/>
              <w:spacing w:line="0" w:lineRule="atLeast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  <w:t>Suggestions by guide</w:t>
            </w:r>
          </w:p>
        </w:tc>
        <w:tc>
          <w:tcPr>
            <w:tcW w:w="2052" w:type="dxa"/>
            <w:shd w:val="clear" w:color="auto" w:fill="auto"/>
            <w:vAlign w:val="bottom"/>
          </w:tcPr>
          <w:p w14:paraId="79129ACF">
            <w:pPr>
              <w:suppressAutoHyphens w:val="0"/>
              <w:spacing w:line="0" w:lineRule="atLeast"/>
              <w:ind w:left="60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eastAsia="en-US" w:bidi="hi-I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eastAsia="en-US" w:bidi="hi-IN"/>
              </w:rPr>
              <w:t>Name</w:t>
            </w:r>
          </w:p>
        </w:tc>
        <w:tc>
          <w:tcPr>
            <w:tcW w:w="1681" w:type="dxa"/>
            <w:shd w:val="clear" w:color="auto" w:fill="auto"/>
            <w:vAlign w:val="bottom"/>
          </w:tcPr>
          <w:p w14:paraId="5E35F3A0">
            <w:pPr>
              <w:suppressAutoHyphens w:val="0"/>
              <w:spacing w:line="0" w:lineRule="atLeast"/>
              <w:ind w:left="40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eastAsia="en-US" w:bidi="hi-I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eastAsia="en-US" w:bidi="hi-IN"/>
              </w:rPr>
              <w:t>USN</w:t>
            </w:r>
          </w:p>
        </w:tc>
        <w:tc>
          <w:tcPr>
            <w:tcW w:w="1233" w:type="dxa"/>
            <w:shd w:val="clear" w:color="auto" w:fill="auto"/>
            <w:vAlign w:val="bottom"/>
          </w:tcPr>
          <w:p w14:paraId="2A7C9426">
            <w:pPr>
              <w:suppressAutoHyphens w:val="0"/>
              <w:spacing w:line="0" w:lineRule="atLeast"/>
              <w:ind w:left="40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</w:pPr>
            <w:r>
              <w:rPr>
                <w:rFonts w:hint="default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  <w:t>Student Signature</w:t>
            </w:r>
          </w:p>
        </w:tc>
        <w:tc>
          <w:tcPr>
            <w:tcW w:w="1233" w:type="dxa"/>
            <w:shd w:val="clear" w:color="auto" w:fill="auto"/>
            <w:vAlign w:val="bottom"/>
          </w:tcPr>
          <w:p w14:paraId="33B996F1">
            <w:pPr>
              <w:suppressAutoHyphens w:val="0"/>
              <w:spacing w:line="0" w:lineRule="atLeast"/>
              <w:ind w:left="40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  <w:t>Marks (5)</w:t>
            </w:r>
          </w:p>
        </w:tc>
      </w:tr>
      <w:tr w14:paraId="0D0B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restart"/>
            <w:shd w:val="clear" w:color="auto" w:fill="auto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Week 1</w:t>
              <w:br/>
              <w:t>from:</w:t>
              <w:br/>
              <w:t>31/08/2026</w:t>
              <w:br/>
              <w:t>to:</w:t>
              <w:br/>
              <w:t>05/09/2026</w:t>
            </w:r>
          </w:p>
        </w:tc>
        <w:tc>
          <w:tcPr>
            <w:tcW w:w="1729" w:type="dxa"/>
            <w:vMerge w:val="restart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• Literature survey on AICTE/VTU 100/200 activity credit guidelines and degree clearance.</w:t>
              <w:br/>
              <w:t>• Formulated problem statement on manual verification delays, fraud, and cap violations.</w:t>
              <w:br/>
              <w:t>• Defined 3-tier user role hierarchy (Student, Faculty Mentor, Head of Department).</w:t>
              <w:br/>
              <w:t>• Designed SQLite schema for users, activity categories, submissions, and audit logs.</w:t>
              <w:br/>
              <w:t>• Initialized repo scaffolding with Vite, React 19, TypeScript, and Express REST server.</w:t>
            </w:r>
          </w:p>
        </w:tc>
        <w:tc>
          <w:tcPr>
            <w:tcW w:w="1910" w:type="dxa"/>
            <w:vMerge w:val="restart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• Formalize mathematical constraints for semester limits (30 pts ceiling) and category domain caps.</w:t>
              <w:br/>
              <w:t>• Ensure clear separation between authoritative database records and derived intelligence layers.</w:t>
              <w:br/>
              <w:t>• Benchmark UI requirements for non-technical faculty evaluators.</w:t>
            </w: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2C76D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continue"/>
            <w:shd w:val="clear" w:color="auto" w:fill="auto"/>
            <w:vAlign w:val="bottom"/>
          </w:tcPr>
          <w:p w14:paraId="71F99D48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729" w:type="dxa"/>
            <w:vMerge w:val="continue"/>
            <w:shd w:val="clear" w:color="auto" w:fill="auto"/>
            <w:vAlign w:val="bottom"/>
          </w:tcPr>
          <w:p w14:paraId="7408C7D7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910" w:type="dxa"/>
            <w:vMerge w:val="continue"/>
            <w:shd w:val="clear" w:color="auto" w:fill="auto"/>
            <w:vAlign w:val="bottom"/>
          </w:tcPr>
          <w:p w14:paraId="18A5918E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182C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continue"/>
            <w:shd w:val="clear" w:color="auto" w:fill="auto"/>
            <w:vAlign w:val="bottom"/>
          </w:tcPr>
          <w:p w14:paraId="712A7783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729" w:type="dxa"/>
            <w:vMerge w:val="continue"/>
            <w:shd w:val="clear" w:color="auto" w:fill="auto"/>
            <w:vAlign w:val="bottom"/>
          </w:tcPr>
          <w:p w14:paraId="5E032A3E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910" w:type="dxa"/>
            <w:vMerge w:val="continue"/>
            <w:shd w:val="clear" w:color="auto" w:fill="auto"/>
            <w:vAlign w:val="bottom"/>
          </w:tcPr>
          <w:p w14:paraId="62DAFFC0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1F96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continue"/>
            <w:shd w:val="clear" w:color="auto" w:fill="auto"/>
            <w:vAlign w:val="bottom"/>
          </w:tcPr>
          <w:p w14:paraId="0A1D894D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729" w:type="dxa"/>
            <w:vMerge w:val="continue"/>
            <w:shd w:val="clear" w:color="auto" w:fill="auto"/>
            <w:vAlign w:val="bottom"/>
          </w:tcPr>
          <w:p w14:paraId="344B524D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910" w:type="dxa"/>
            <w:vMerge w:val="continue"/>
            <w:shd w:val="clear" w:color="auto" w:fill="auto"/>
            <w:vAlign w:val="bottom"/>
          </w:tcPr>
          <w:p w14:paraId="7C8F8CB7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5B8E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restart"/>
            <w:shd w:val="clear" w:color="auto" w:fill="auto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Week 2</w:t>
              <w:br/>
              <w:t>from:</w:t>
              <w:br/>
              <w:t>07/09/2026</w:t>
              <w:br/>
              <w:t>to:</w:t>
              <w:br/>
              <w:t>12/09/2026</w:t>
            </w:r>
          </w:p>
        </w:tc>
        <w:tc>
          <w:tcPr>
            <w:tcW w:w="1729" w:type="dxa"/>
            <w:vMerge w:val="restart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• Implemented deterministic points engine enforcing 30 pts/sem limit and category caps.</w:t>
              <w:br/>
              <w:t>• Built responsive frontend dashboards with 1-click persona switching (Student, Mentor, HOD).</w:t>
              <w:br/>
              <w:t>• Created student activity submission portal supporting certificate uploads (PDF/PNG/SVG).</w:t>
              <w:br/>
              <w:t>• Developed Faculty Mentor review console to inspect pending department submissions.</w:t>
              <w:br/>
              <w:t>• Implemented degree milestone tiers (Bronze 50, Silver 100, Gold 150, Diamond 200).</w:t>
            </w:r>
          </w:p>
        </w:tc>
        <w:tc>
          <w:tcPr>
            <w:tcW w:w="1910" w:type="dxa"/>
            <w:vMerge w:val="restart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• Incorporate automated OCR to assist faculty mentors in verifying student credentials.</w:t>
              <w:br/>
              <w:t>• Introduce discrepancy detection to flag mismatched student names or dates.</w:t>
              <w:br/>
              <w:t>• Provide real-time degree clearance progress meters on the student dashboard.</w:t>
            </w: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7B59E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continue"/>
            <w:shd w:val="clear" w:color="auto" w:fill="auto"/>
            <w:vAlign w:val="bottom"/>
          </w:tcPr>
          <w:p w14:paraId="45FEF7C4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729" w:type="dxa"/>
            <w:vMerge w:val="continue"/>
            <w:shd w:val="clear" w:color="auto" w:fill="auto"/>
            <w:vAlign w:val="bottom"/>
          </w:tcPr>
          <w:p w14:paraId="0B49EC45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910" w:type="dxa"/>
            <w:vMerge w:val="continue"/>
            <w:shd w:val="clear" w:color="auto" w:fill="auto"/>
            <w:vAlign w:val="bottom"/>
          </w:tcPr>
          <w:p w14:paraId="48056711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42CEA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continue"/>
            <w:shd w:val="clear" w:color="auto" w:fill="auto"/>
            <w:vAlign w:val="bottom"/>
          </w:tcPr>
          <w:p w14:paraId="6F789769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729" w:type="dxa"/>
            <w:vMerge w:val="continue"/>
            <w:shd w:val="clear" w:color="auto" w:fill="auto"/>
            <w:vAlign w:val="bottom"/>
          </w:tcPr>
          <w:p w14:paraId="6F3D8A7E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910" w:type="dxa"/>
            <w:vMerge w:val="continue"/>
            <w:shd w:val="clear" w:color="auto" w:fill="auto"/>
            <w:vAlign w:val="bottom"/>
          </w:tcPr>
          <w:p w14:paraId="0473317A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40E4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continue"/>
            <w:shd w:val="clear" w:color="auto" w:fill="auto"/>
            <w:vAlign w:val="bottom"/>
          </w:tcPr>
          <w:p w14:paraId="12F59D68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729" w:type="dxa"/>
            <w:vMerge w:val="continue"/>
            <w:shd w:val="clear" w:color="auto" w:fill="auto"/>
            <w:vAlign w:val="bottom"/>
          </w:tcPr>
          <w:p w14:paraId="66320B84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910" w:type="dxa"/>
            <w:vMerge w:val="continue"/>
            <w:shd w:val="clear" w:color="auto" w:fill="auto"/>
            <w:vAlign w:val="bottom"/>
          </w:tcPr>
          <w:p w14:paraId="2DB78EFD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</w:tbl>
    <w:p>
      <w:pPr>
        <w:pageBreakBefore/>
      </w:pPr>
    </w:p>
    <w:tbl>
      <w:tblPr>
        <w:tblStyle w:val="3"/>
        <w:tblpPr w:leftFromText="180" w:rightFromText="180" w:vertAnchor="text" w:horzAnchor="page" w:tblpX="928" w:tblpY="233"/>
        <w:tblOverlap w:val="never"/>
        <w:tblW w:w="10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8"/>
        <w:gridCol w:w="1729"/>
        <w:gridCol w:w="1910"/>
        <w:gridCol w:w="2052"/>
        <w:gridCol w:w="1681"/>
        <w:gridCol w:w="1233"/>
        <w:gridCol w:w="1233"/>
      </w:tblGrid>
      <w:tr w14:paraId="5E74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cantSplit/>
        </w:trPr>
        <w:tc>
          <w:tcPr>
            <w:tcW w:w="898" w:type="dxa"/>
            <w:shd w:val="clear" w:color="auto" w:fill="auto"/>
            <w:vAlign w:val="bottom"/>
          </w:tcPr>
          <w:p w14:paraId="3003FA11">
            <w:pPr>
              <w:suppressAutoHyphens w:val="0"/>
              <w:spacing w:line="0" w:lineRule="atLeast"/>
              <w:ind w:left="60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  <w:t xml:space="preserve">Week </w:t>
            </w:r>
            <w:r>
              <w:rPr>
                <w:rFonts w:hint="default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  <w:t>with date</w:t>
            </w:r>
          </w:p>
        </w:tc>
        <w:tc>
          <w:tcPr>
            <w:tcW w:w="1729" w:type="dxa"/>
            <w:shd w:val="clear" w:color="auto" w:fill="auto"/>
            <w:vAlign w:val="bottom"/>
          </w:tcPr>
          <w:p w14:paraId="440EE736">
            <w:pPr>
              <w:suppressAutoHyphens w:val="0"/>
              <w:spacing w:line="0" w:lineRule="atLeast"/>
              <w:ind w:left="60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  <w:t>Tasks achieved this week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2E425A18">
            <w:pPr>
              <w:suppressAutoHyphens w:val="0"/>
              <w:spacing w:line="0" w:lineRule="atLeast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  <w:t>Suggestions by guide</w:t>
            </w:r>
          </w:p>
        </w:tc>
        <w:tc>
          <w:tcPr>
            <w:tcW w:w="2052" w:type="dxa"/>
            <w:shd w:val="clear" w:color="auto" w:fill="auto"/>
            <w:vAlign w:val="bottom"/>
          </w:tcPr>
          <w:p w14:paraId="79129ACF">
            <w:pPr>
              <w:suppressAutoHyphens w:val="0"/>
              <w:spacing w:line="0" w:lineRule="atLeast"/>
              <w:ind w:left="60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eastAsia="en-US" w:bidi="hi-I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eastAsia="en-US" w:bidi="hi-IN"/>
              </w:rPr>
              <w:t>Name</w:t>
            </w:r>
          </w:p>
        </w:tc>
        <w:tc>
          <w:tcPr>
            <w:tcW w:w="1681" w:type="dxa"/>
            <w:shd w:val="clear" w:color="auto" w:fill="auto"/>
            <w:vAlign w:val="bottom"/>
          </w:tcPr>
          <w:p w14:paraId="5E35F3A0">
            <w:pPr>
              <w:suppressAutoHyphens w:val="0"/>
              <w:spacing w:line="0" w:lineRule="atLeast"/>
              <w:ind w:left="40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eastAsia="en-US" w:bidi="hi-I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eastAsia="en-US" w:bidi="hi-IN"/>
              </w:rPr>
              <w:t>USN</w:t>
            </w:r>
          </w:p>
        </w:tc>
        <w:tc>
          <w:tcPr>
            <w:tcW w:w="1233" w:type="dxa"/>
            <w:shd w:val="clear" w:color="auto" w:fill="auto"/>
            <w:vAlign w:val="bottom"/>
          </w:tcPr>
          <w:p w14:paraId="2A7C9426">
            <w:pPr>
              <w:suppressAutoHyphens w:val="0"/>
              <w:spacing w:line="0" w:lineRule="atLeast"/>
              <w:ind w:left="40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</w:pPr>
            <w:r>
              <w:rPr>
                <w:rFonts w:hint="default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  <w:t>Student Signature</w:t>
            </w:r>
          </w:p>
        </w:tc>
        <w:tc>
          <w:tcPr>
            <w:tcW w:w="1233" w:type="dxa"/>
            <w:shd w:val="clear" w:color="auto" w:fill="auto"/>
            <w:vAlign w:val="bottom"/>
          </w:tcPr>
          <w:p w14:paraId="33B996F1">
            <w:pPr>
              <w:suppressAutoHyphens w:val="0"/>
              <w:spacing w:line="0" w:lineRule="atLeast"/>
              <w:ind w:left="40"/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  <w:lang w:val="en-IN" w:eastAsia="en-US" w:bidi="hi-IN"/>
              </w:rPr>
              <w:t>Marks (5)</w:t>
            </w:r>
          </w:p>
        </w:tc>
      </w:tr>
      <w:tr w14:paraId="194C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restart"/>
            <w:shd w:val="clear" w:color="auto" w:fill="auto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Week 3</w:t>
              <w:br/>
              <w:t>from:</w:t>
              <w:br/>
              <w:t>14/09/2026</w:t>
              <w:br/>
              <w:t>to:</w:t>
              <w:br/>
              <w:t>19/09/2026</w:t>
            </w:r>
          </w:p>
        </w:tc>
        <w:tc>
          <w:tcPr>
            <w:tcW w:w="1729" w:type="dxa"/>
            <w:vMerge w:val="restart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• Integrated Google Gemini 2.5 Flash Vision for certificate OCR &amp; metadata extraction.</w:t>
              <w:br/>
              <w:t>• Built discrepancy audit engine comparing certificate data against database profiles.</w:t>
              <w:br/>
              <w:t>• Constructed derived Institutional Knowledge Graph service mapping entities &amp; relations.</w:t>
              <w:br/>
              <w:t>• Engineered deterministic fallback engine ensuring 100% offline platform availability.</w:t>
              <w:br/>
              <w:t>• Updated Mentor Review Console with side-by-side certificate proof &amp; AI audit badges.</w:t>
            </w:r>
          </w:p>
        </w:tc>
        <w:tc>
          <w:tcPr>
            <w:tcW w:w="1910" w:type="dxa"/>
            <w:vMerge w:val="restart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• Ground all AI advisory recommendations in institutional graph evidence (GraphRAG).</w:t>
              <w:br/>
              <w:t>• Eliminate generative AI hallucinations regarding university policies or fake activities.</w:t>
              <w:br/>
              <w:t>• Design an official institutional credit transcript export format for degree clearance.</w:t>
            </w: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66E8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continue"/>
            <w:shd w:val="clear" w:color="auto" w:fill="auto"/>
            <w:vAlign w:val="bottom"/>
          </w:tcPr>
          <w:p w14:paraId="64A8937A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729" w:type="dxa"/>
            <w:vMerge w:val="continue"/>
            <w:shd w:val="clear" w:color="auto" w:fill="auto"/>
            <w:vAlign w:val="bottom"/>
          </w:tcPr>
          <w:p w14:paraId="2CF767B7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910" w:type="dxa"/>
            <w:vMerge w:val="continue"/>
            <w:shd w:val="clear" w:color="auto" w:fill="auto"/>
            <w:vAlign w:val="bottom"/>
          </w:tcPr>
          <w:p w14:paraId="73EFBDF8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4D90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continue"/>
            <w:shd w:val="clear" w:color="auto" w:fill="auto"/>
            <w:vAlign w:val="bottom"/>
          </w:tcPr>
          <w:p w14:paraId="1DF40C5E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729" w:type="dxa"/>
            <w:vMerge w:val="continue"/>
            <w:shd w:val="clear" w:color="auto" w:fill="auto"/>
            <w:vAlign w:val="bottom"/>
          </w:tcPr>
          <w:p w14:paraId="7ED7D389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910" w:type="dxa"/>
            <w:vMerge w:val="continue"/>
            <w:shd w:val="clear" w:color="auto" w:fill="auto"/>
            <w:vAlign w:val="bottom"/>
          </w:tcPr>
          <w:p w14:paraId="6E5511A0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38A07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continue"/>
            <w:shd w:val="clear" w:color="auto" w:fill="auto"/>
            <w:vAlign w:val="bottom"/>
          </w:tcPr>
          <w:p w14:paraId="1E73D12C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729" w:type="dxa"/>
            <w:vMerge w:val="continue"/>
            <w:shd w:val="clear" w:color="auto" w:fill="auto"/>
            <w:vAlign w:val="bottom"/>
          </w:tcPr>
          <w:p w14:paraId="63828E6D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910" w:type="dxa"/>
            <w:vMerge w:val="continue"/>
            <w:shd w:val="clear" w:color="auto" w:fill="auto"/>
            <w:vAlign w:val="bottom"/>
          </w:tcPr>
          <w:p w14:paraId="0731089B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2D9D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restart"/>
            <w:shd w:val="clear" w:color="auto" w:fill="auto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Week 4</w:t>
              <w:br/>
              <w:t>from:</w:t>
              <w:br/>
              <w:t>21/09/2026</w:t>
              <w:br/>
              <w:t>to:</w:t>
              <w:br/>
              <w:t>26/09/2026</w:t>
            </w:r>
          </w:p>
        </w:tc>
        <w:tc>
          <w:tcPr>
            <w:tcW w:w="1729" w:type="dxa"/>
            <w:vMerge w:val="restart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• Deployed GraphRAG-powered AI Advisor providing grounded academic clearance roadmaps.</w:t>
              <w:br/>
              <w:t>• Built Student Visual Analytics suite: Domain Donut, Semester Velocity, &amp; SGPA correlation.</w:t>
              <w:br/>
              <w:t>• Implemented official A4 Institutional Credit Transcript PDF engine with digital seal.</w:t>
              <w:br/>
              <w:t>• Completed end-to-end integration testing across Student, Mentor, and HOD workflows.</w:t>
              <w:br/>
              <w:t>• Finalized Phase I documentation, presentation deck, and prototype demonstration.</w:t>
            </w:r>
          </w:p>
        </w:tc>
        <w:tc>
          <w:tcPr>
            <w:tcW w:w="1910" w:type="dxa"/>
            <w:vMerge w:val="restart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• Simplify UI navigation for non-technical faculty evaluators using plain academic vocabulary.</w:t>
              <w:br/>
              <w:t>• Prepare Phase I demonstration showcasing certificate OCR, mentor review, &amp; PDF transcript.</w:t>
              <w:br/>
              <w:t>• Verify edge cases for semester credit limits and category cap boundary conditions.</w:t>
            </w: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4ED4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continue"/>
            <w:shd w:val="clear" w:color="auto" w:fill="auto"/>
            <w:vAlign w:val="bottom"/>
          </w:tcPr>
          <w:p w14:paraId="1D72323E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729" w:type="dxa"/>
            <w:vMerge w:val="continue"/>
            <w:shd w:val="clear" w:color="auto" w:fill="auto"/>
            <w:vAlign w:val="bottom"/>
          </w:tcPr>
          <w:p w14:paraId="4CF1EB22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910" w:type="dxa"/>
            <w:vMerge w:val="continue"/>
            <w:shd w:val="clear" w:color="auto" w:fill="auto"/>
            <w:vAlign w:val="bottom"/>
          </w:tcPr>
          <w:p w14:paraId="3DB5AA6B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2985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continue"/>
            <w:shd w:val="clear" w:color="auto" w:fill="auto"/>
            <w:vAlign w:val="bottom"/>
          </w:tcPr>
          <w:p w14:paraId="04AF04B6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729" w:type="dxa"/>
            <w:vMerge w:val="continue"/>
            <w:shd w:val="clear" w:color="auto" w:fill="auto"/>
            <w:vAlign w:val="bottom"/>
          </w:tcPr>
          <w:p w14:paraId="2B9230C1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910" w:type="dxa"/>
            <w:vMerge w:val="continue"/>
            <w:shd w:val="clear" w:color="auto" w:fill="auto"/>
            <w:vAlign w:val="bottom"/>
          </w:tcPr>
          <w:p w14:paraId="69C6A7E1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 w14:paraId="35AE8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cantSplit/>
        </w:trPr>
        <w:tc>
          <w:tcPr>
            <w:tcW w:w="898" w:type="dxa"/>
            <w:vMerge w:val="continue"/>
            <w:shd w:val="clear" w:color="auto" w:fill="auto"/>
            <w:vAlign w:val="bottom"/>
          </w:tcPr>
          <w:p w14:paraId="4C8CC107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729" w:type="dxa"/>
            <w:vMerge w:val="continue"/>
            <w:shd w:val="clear" w:color="auto" w:fill="auto"/>
            <w:vAlign w:val="bottom"/>
          </w:tcPr>
          <w:p w14:paraId="38B9EC80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1910" w:type="dxa"/>
            <w:vMerge w:val="continue"/>
            <w:shd w:val="clear" w:color="auto" w:fill="auto"/>
            <w:vAlign w:val="bottom"/>
          </w:tcPr>
          <w:p w14:paraId="4EFA7E91">
            <w:pPr>
              <w:suppressAutoHyphens w:val="0"/>
              <w:spacing w:line="0" w:lineRule="atLeast"/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Cs w:val="20"/>
                <w:lang w:eastAsia="en-US" w:bidi="hi-IN"/>
              </w:rPr>
            </w:pPr>
          </w:p>
        </w:tc>
        <w:tc>
          <w:tcPr>
            <w:tcW w:w="2052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681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</w:tbl>
    <w:p w14:paraId="18325D5E">
      <w:pPr>
        <w:suppressAutoHyphens w:val="0"/>
        <w:spacing w:line="0" w:lineRule="atLeast" w:before="360" w:after="80"/>
        <w:ind w:left="6540"/>
        <w:jc w:val="right"/>
        <w:rPr>
          <w:rFonts w:ascii="Arial" w:hAnsi="Arial" w:eastAsia="Arial" w:cs="Arial"/>
          <w:b/>
          <w:color w:val="auto"/>
          <w:sz w:val="22"/>
          <w:szCs w:val="20"/>
          <w:lang w:eastAsia="en-US" w:bidi="hi-IN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0"/>
          <w:lang w:eastAsia="en-US" w:bidi="hi-IN"/>
        </w:rPr>
        <w:t>Signature of guide with date</w:t>
      </w:r>
    </w:p>
    <w:sectPr>
      <w:headerReference r:id="rId3" w:type="default"/>
      <w:pgSz w:w="12240" w:h="15840"/>
      <w:pgMar w:top="1440" w:right="1267" w:bottom="418" w:left="1440" w:header="360" w:footer="360" w:gutter="0"/>
      <w:cols w:space="720" w:num="1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21" w:usb3="00000000" w:csb0="000001BF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ao UI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36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0036"/>
    </w:tblGrid>
    <w:tr w14:paraId="6AD04BB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7" w:hRule="atLeast"/>
      </w:trPr>
      <w:tc>
        <w:tcPr>
          <w:tcW w:w="10036" w:type="dxa"/>
        </w:tcPr>
        <w:p w14:paraId="3FE90E24">
          <w:pPr>
            <w:pStyle w:val="8"/>
            <w:tabs>
              <w:tab w:val="center" w:pos="4513"/>
              <w:tab w:val="right" w:pos="9026"/>
              <w:tab w:val="clear" w:pos="4320"/>
              <w:tab w:val="clear" w:pos="8640"/>
            </w:tabs>
            <w:jc w:val="center"/>
            <w:rPr>
              <w:szCs w:val="20"/>
            </w:rPr>
          </w:pPr>
          <w:r>
            <w:rPr>
              <w:lang w:eastAsia="en-IN"/>
            </w:rPr>
            <w:drawing>
              <wp:inline distT="0" distB="0" distL="0" distR="0">
                <wp:extent cx="5200650" cy="633730"/>
                <wp:effectExtent l="0" t="0" r="11430" b="6350"/>
                <wp:docPr id="365192782" name="Picture 365192782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192782" name="Picture 365192782" descr="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3473" t="23202" r="13420" b="2459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9578" cy="6462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7898D7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9" w:hRule="atLeast"/>
      </w:trPr>
      <w:tc>
        <w:tcPr>
          <w:tcW w:w="10036" w:type="dxa"/>
        </w:tcPr>
        <w:p w14:paraId="53F4FCF3">
          <w:pPr>
            <w:spacing w:after="0" w:line="240" w:lineRule="auto"/>
            <w:jc w:val="center"/>
            <w:rPr>
              <w:szCs w:val="20"/>
            </w:rPr>
          </w:pPr>
          <w:r>
            <w:rPr>
              <w:szCs w:val="20"/>
            </w:rPr>
            <w:t>Nitte (DU) established under Section 3 of UGC Act 1956 | Accredited with ‘A+’ Grade by NAAC</w:t>
          </w:r>
        </w:p>
      </w:tc>
    </w:tr>
    <w:tr w14:paraId="00731F3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9" w:hRule="atLeast"/>
      </w:trPr>
      <w:tc>
        <w:tcPr>
          <w:tcW w:w="10036" w:type="dxa"/>
        </w:tcPr>
        <w:p w14:paraId="1A9FD31F">
          <w:pPr>
            <w:spacing w:after="0" w:line="240" w:lineRule="auto"/>
            <w:jc w:val="center"/>
            <w:rPr>
              <w:szCs w:val="20"/>
            </w:rPr>
          </w:pPr>
          <w:r>
            <w:rPr>
              <w:szCs w:val="20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93980</wp:posOffset>
                    </wp:positionH>
                    <wp:positionV relativeFrom="paragraph">
                      <wp:posOffset>100330</wp:posOffset>
                    </wp:positionV>
                    <wp:extent cx="5924550" cy="0"/>
                    <wp:effectExtent l="0" t="4445" r="0" b="5080"/>
                    <wp:wrapNone/>
                    <wp:docPr id="2" name="Straight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9245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7.4pt;margin-top:7.9pt;height:0pt;width:466.5pt;z-index:251659264;mso-width-relative:page;mso-height-relative:page;" filled="f" stroked="t" coordsize="21600,21600" o:gfxdata="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hM3BYdQAAAAIAQAADwAAAAAA&#10;AAABACAAAAAiAAAAZHJzL2Rvd25yZXYueG1sUEsBAhQAFAAAAAgAh07iQEmmIzXeAQAA1gMAAA4A&#10;AAAAAAAAAQAgAAAAIwEAAGRycy9lMm9Eb2MueG1sUEsFBgAAAAAGAAYAWQEAAHMFAAAAAA==&#10;">
                    <v:fill on="f" focussize="0,0"/>
                    <v:stroke color="#000000 [3200]" joinstyle="round"/>
                    <v:imagedata o:title=""/>
                    <o:lock v:ext="edit" aspectratio="f"/>
                  </v:line>
                </w:pict>
              </mc:Fallback>
            </mc:AlternateContent>
          </w:r>
        </w:p>
      </w:tc>
    </w:tr>
    <w:tr w14:paraId="01769B5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9" w:hRule="atLeast"/>
      </w:trPr>
      <w:tc>
        <w:tcPr>
          <w:tcW w:w="10036" w:type="dxa"/>
        </w:tcPr>
        <w:p w14:paraId="5B811104">
          <w:pPr>
            <w:spacing w:after="0" w:line="240" w:lineRule="auto"/>
            <w:jc w:val="center"/>
            <w:rPr>
              <w:rFonts w:ascii="Lao UI" w:hAnsi="Lao UI" w:cs="Lao UI"/>
              <w:b/>
              <w:bCs/>
              <w:color w:val="2E3192"/>
              <w:sz w:val="26"/>
              <w:szCs w:val="26"/>
            </w:rPr>
          </w:pPr>
          <w:r>
            <w:rPr>
              <w:rFonts w:ascii="Lao UI" w:hAnsi="Lao UI" w:cs="Lao UI"/>
              <w:b/>
              <w:bCs/>
              <w:color w:val="2E3192"/>
              <w:sz w:val="26"/>
              <w:szCs w:val="26"/>
            </w:rPr>
            <w:t xml:space="preserve">Department of Computer Science &amp; Engineering </w:t>
          </w:r>
        </w:p>
      </w:tc>
    </w:tr>
  </w:tbl>
  <w:p w14:paraId="2DD1D442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03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E3"/>
    <w:rsid w:val="00011385"/>
    <w:rsid w:val="00017EDA"/>
    <w:rsid w:val="000221A8"/>
    <w:rsid w:val="0002571B"/>
    <w:rsid w:val="000274D3"/>
    <w:rsid w:val="00034446"/>
    <w:rsid w:val="00053689"/>
    <w:rsid w:val="000B52EB"/>
    <w:rsid w:val="000C4041"/>
    <w:rsid w:val="000C59C7"/>
    <w:rsid w:val="000C6C2C"/>
    <w:rsid w:val="000E5B17"/>
    <w:rsid w:val="00107AD0"/>
    <w:rsid w:val="00112933"/>
    <w:rsid w:val="00116D97"/>
    <w:rsid w:val="001326FE"/>
    <w:rsid w:val="00136346"/>
    <w:rsid w:val="00143355"/>
    <w:rsid w:val="001601AE"/>
    <w:rsid w:val="00182F30"/>
    <w:rsid w:val="0018375A"/>
    <w:rsid w:val="00186EA6"/>
    <w:rsid w:val="001903E9"/>
    <w:rsid w:val="001D1960"/>
    <w:rsid w:val="001D5805"/>
    <w:rsid w:val="001F0744"/>
    <w:rsid w:val="00214B2E"/>
    <w:rsid w:val="00216367"/>
    <w:rsid w:val="002440BC"/>
    <w:rsid w:val="00284226"/>
    <w:rsid w:val="002A317C"/>
    <w:rsid w:val="002B29AF"/>
    <w:rsid w:val="002B4651"/>
    <w:rsid w:val="002D46D3"/>
    <w:rsid w:val="002D5B21"/>
    <w:rsid w:val="002E7F08"/>
    <w:rsid w:val="002F3012"/>
    <w:rsid w:val="002F6B47"/>
    <w:rsid w:val="00327393"/>
    <w:rsid w:val="003652AC"/>
    <w:rsid w:val="00391186"/>
    <w:rsid w:val="003B3E1A"/>
    <w:rsid w:val="003D5236"/>
    <w:rsid w:val="003F3E87"/>
    <w:rsid w:val="004321D1"/>
    <w:rsid w:val="00437AF1"/>
    <w:rsid w:val="00445788"/>
    <w:rsid w:val="00451B5E"/>
    <w:rsid w:val="004525C8"/>
    <w:rsid w:val="00470F3F"/>
    <w:rsid w:val="0048393F"/>
    <w:rsid w:val="00493441"/>
    <w:rsid w:val="004959D7"/>
    <w:rsid w:val="004B5959"/>
    <w:rsid w:val="004D4226"/>
    <w:rsid w:val="004E20C6"/>
    <w:rsid w:val="004E3DF3"/>
    <w:rsid w:val="004E6BED"/>
    <w:rsid w:val="004F0B3D"/>
    <w:rsid w:val="004F3E26"/>
    <w:rsid w:val="0050444F"/>
    <w:rsid w:val="0051462C"/>
    <w:rsid w:val="00514879"/>
    <w:rsid w:val="005161FF"/>
    <w:rsid w:val="00516F67"/>
    <w:rsid w:val="00522C2D"/>
    <w:rsid w:val="00537037"/>
    <w:rsid w:val="0054374A"/>
    <w:rsid w:val="005444C9"/>
    <w:rsid w:val="0056312F"/>
    <w:rsid w:val="005642F5"/>
    <w:rsid w:val="0058265E"/>
    <w:rsid w:val="005A5E46"/>
    <w:rsid w:val="005C21D0"/>
    <w:rsid w:val="005C56E6"/>
    <w:rsid w:val="005D694F"/>
    <w:rsid w:val="005E2889"/>
    <w:rsid w:val="005E6ABB"/>
    <w:rsid w:val="006016F5"/>
    <w:rsid w:val="00601853"/>
    <w:rsid w:val="00614BD9"/>
    <w:rsid w:val="00620B28"/>
    <w:rsid w:val="006251F5"/>
    <w:rsid w:val="00641045"/>
    <w:rsid w:val="0064503C"/>
    <w:rsid w:val="00663D06"/>
    <w:rsid w:val="00685C6A"/>
    <w:rsid w:val="006A59FE"/>
    <w:rsid w:val="006B59BD"/>
    <w:rsid w:val="006B69EF"/>
    <w:rsid w:val="006C0EE2"/>
    <w:rsid w:val="006C2F32"/>
    <w:rsid w:val="006F6A39"/>
    <w:rsid w:val="007031A5"/>
    <w:rsid w:val="00704C66"/>
    <w:rsid w:val="00721664"/>
    <w:rsid w:val="00721B6E"/>
    <w:rsid w:val="0072366C"/>
    <w:rsid w:val="007513C7"/>
    <w:rsid w:val="00752E02"/>
    <w:rsid w:val="00753619"/>
    <w:rsid w:val="007541B1"/>
    <w:rsid w:val="00757990"/>
    <w:rsid w:val="00761709"/>
    <w:rsid w:val="00771F72"/>
    <w:rsid w:val="007720C3"/>
    <w:rsid w:val="00772BEE"/>
    <w:rsid w:val="00792EB9"/>
    <w:rsid w:val="007B6332"/>
    <w:rsid w:val="007D7839"/>
    <w:rsid w:val="007D7D98"/>
    <w:rsid w:val="007E17FA"/>
    <w:rsid w:val="007E1A74"/>
    <w:rsid w:val="007E3C48"/>
    <w:rsid w:val="00811401"/>
    <w:rsid w:val="00813268"/>
    <w:rsid w:val="008429E8"/>
    <w:rsid w:val="008633F8"/>
    <w:rsid w:val="008722DD"/>
    <w:rsid w:val="008879C9"/>
    <w:rsid w:val="00913D38"/>
    <w:rsid w:val="009215CB"/>
    <w:rsid w:val="009219C8"/>
    <w:rsid w:val="00946917"/>
    <w:rsid w:val="00951732"/>
    <w:rsid w:val="00957D98"/>
    <w:rsid w:val="00966093"/>
    <w:rsid w:val="00967BF0"/>
    <w:rsid w:val="00975B65"/>
    <w:rsid w:val="00981BF5"/>
    <w:rsid w:val="009B05B9"/>
    <w:rsid w:val="009B2B35"/>
    <w:rsid w:val="009B34D8"/>
    <w:rsid w:val="009B7EB6"/>
    <w:rsid w:val="009F5009"/>
    <w:rsid w:val="00A03284"/>
    <w:rsid w:val="00A23EE3"/>
    <w:rsid w:val="00A24BEE"/>
    <w:rsid w:val="00A37519"/>
    <w:rsid w:val="00A51FBE"/>
    <w:rsid w:val="00A747FE"/>
    <w:rsid w:val="00A80CBD"/>
    <w:rsid w:val="00AE2BCB"/>
    <w:rsid w:val="00AF5786"/>
    <w:rsid w:val="00B01FD5"/>
    <w:rsid w:val="00B03220"/>
    <w:rsid w:val="00B05D12"/>
    <w:rsid w:val="00B20488"/>
    <w:rsid w:val="00B21396"/>
    <w:rsid w:val="00B2703A"/>
    <w:rsid w:val="00B35F37"/>
    <w:rsid w:val="00B37CF0"/>
    <w:rsid w:val="00B43499"/>
    <w:rsid w:val="00B55939"/>
    <w:rsid w:val="00B56963"/>
    <w:rsid w:val="00B743E6"/>
    <w:rsid w:val="00B77A9E"/>
    <w:rsid w:val="00B95ED2"/>
    <w:rsid w:val="00BA5067"/>
    <w:rsid w:val="00BB195F"/>
    <w:rsid w:val="00BC1F6D"/>
    <w:rsid w:val="00BD7734"/>
    <w:rsid w:val="00C13847"/>
    <w:rsid w:val="00C16234"/>
    <w:rsid w:val="00C215CD"/>
    <w:rsid w:val="00C2382C"/>
    <w:rsid w:val="00C26D65"/>
    <w:rsid w:val="00C335EF"/>
    <w:rsid w:val="00C64E66"/>
    <w:rsid w:val="00C92BEC"/>
    <w:rsid w:val="00C973AA"/>
    <w:rsid w:val="00CA646B"/>
    <w:rsid w:val="00CA704B"/>
    <w:rsid w:val="00CF5988"/>
    <w:rsid w:val="00D16A74"/>
    <w:rsid w:val="00D271B2"/>
    <w:rsid w:val="00D27BA7"/>
    <w:rsid w:val="00D30A3F"/>
    <w:rsid w:val="00D3148D"/>
    <w:rsid w:val="00D413DA"/>
    <w:rsid w:val="00D43575"/>
    <w:rsid w:val="00D52896"/>
    <w:rsid w:val="00D63191"/>
    <w:rsid w:val="00D70134"/>
    <w:rsid w:val="00D753ED"/>
    <w:rsid w:val="00D8452C"/>
    <w:rsid w:val="00DA24B7"/>
    <w:rsid w:val="00DB5169"/>
    <w:rsid w:val="00DC4316"/>
    <w:rsid w:val="00DE6448"/>
    <w:rsid w:val="00E1002E"/>
    <w:rsid w:val="00E23359"/>
    <w:rsid w:val="00E32102"/>
    <w:rsid w:val="00E33FC5"/>
    <w:rsid w:val="00E41CBD"/>
    <w:rsid w:val="00E65E0A"/>
    <w:rsid w:val="00E77A57"/>
    <w:rsid w:val="00E974D5"/>
    <w:rsid w:val="00EA0A6F"/>
    <w:rsid w:val="00EA68BE"/>
    <w:rsid w:val="00EB4BAC"/>
    <w:rsid w:val="00ED5CBE"/>
    <w:rsid w:val="00EE756F"/>
    <w:rsid w:val="00EF0046"/>
    <w:rsid w:val="00F019B2"/>
    <w:rsid w:val="00F1101C"/>
    <w:rsid w:val="00F130DC"/>
    <w:rsid w:val="00F41DDB"/>
    <w:rsid w:val="00F46338"/>
    <w:rsid w:val="00F510B3"/>
    <w:rsid w:val="00F6301A"/>
    <w:rsid w:val="00F72747"/>
    <w:rsid w:val="00F80583"/>
    <w:rsid w:val="00F83C81"/>
    <w:rsid w:val="00F938A4"/>
    <w:rsid w:val="00FA21A7"/>
    <w:rsid w:val="00FA5F79"/>
    <w:rsid w:val="00FA7B3F"/>
    <w:rsid w:val="02F11411"/>
    <w:rsid w:val="0AB04E98"/>
    <w:rsid w:val="0D0A5F71"/>
    <w:rsid w:val="0F7718EE"/>
    <w:rsid w:val="100A6A8C"/>
    <w:rsid w:val="108C2123"/>
    <w:rsid w:val="10BC0900"/>
    <w:rsid w:val="16F07C7F"/>
    <w:rsid w:val="26303437"/>
    <w:rsid w:val="2A423861"/>
    <w:rsid w:val="2BA60F2A"/>
    <w:rsid w:val="2E2D5450"/>
    <w:rsid w:val="34F60372"/>
    <w:rsid w:val="367470E6"/>
    <w:rsid w:val="3B4A7A51"/>
    <w:rsid w:val="4A0A5764"/>
    <w:rsid w:val="4DC1731C"/>
    <w:rsid w:val="5137314B"/>
    <w:rsid w:val="51BC33A4"/>
    <w:rsid w:val="51D9504A"/>
    <w:rsid w:val="543D7733"/>
    <w:rsid w:val="545D445C"/>
    <w:rsid w:val="5D991C85"/>
    <w:rsid w:val="62C21B13"/>
    <w:rsid w:val="67F93B99"/>
    <w:rsid w:val="70D511A9"/>
    <w:rsid w:val="77DA64AE"/>
    <w:rsid w:val="7C484A74"/>
    <w:rsid w:val="7E51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SimSun" w:cs="Times New Roman"/>
      <w:color w:val="00000A"/>
      <w:sz w:val="24"/>
      <w:szCs w:val="24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0"/>
    <w:pPr>
      <w:spacing w:after="140" w:line="288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</w:rPr>
  </w:style>
  <w:style w:type="paragraph" w:styleId="7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8">
    <w:name w:val="header"/>
    <w:basedOn w:val="1"/>
    <w:qFormat/>
    <w:uiPriority w:val="99"/>
    <w:pPr>
      <w:tabs>
        <w:tab w:val="center" w:pos="4320"/>
        <w:tab w:val="right" w:pos="8640"/>
      </w:tabs>
    </w:pPr>
  </w:style>
  <w:style w:type="paragraph" w:styleId="9">
    <w:name w:val="List"/>
    <w:basedOn w:val="10"/>
    <w:qFormat/>
    <w:uiPriority w:val="0"/>
    <w:rPr>
      <w:rFonts w:cs="FreeSans"/>
    </w:rPr>
  </w:style>
  <w:style w:type="paragraph" w:customStyle="1" w:styleId="10">
    <w:name w:val="Body Text1"/>
    <w:basedOn w:val="1"/>
    <w:qFormat/>
    <w:uiPriority w:val="0"/>
    <w:pPr>
      <w:spacing w:after="140" w:line="288" w:lineRule="auto"/>
    </w:pPr>
  </w:style>
  <w:style w:type="character" w:styleId="11">
    <w:name w:val="page number"/>
    <w:basedOn w:val="2"/>
    <w:qFormat/>
    <w:uiPriority w:val="0"/>
  </w:style>
  <w:style w:type="table" w:styleId="12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Balloon Text Char"/>
    <w:basedOn w:val="2"/>
    <w:qFormat/>
    <w:uiPriority w:val="0"/>
    <w:rPr>
      <w:rFonts w:ascii="Tahoma" w:hAnsi="Tahoma" w:cs="Tahoma"/>
      <w:sz w:val="16"/>
      <w:szCs w:val="16"/>
      <w:lang w:eastAsia="zh-CN"/>
    </w:rPr>
  </w:style>
  <w:style w:type="character" w:customStyle="1" w:styleId="14">
    <w:name w:val="ListLabel 1"/>
    <w:qFormat/>
    <w:uiPriority w:val="0"/>
    <w:rPr>
      <w:rFonts w:cs="Times New Roman"/>
    </w:rPr>
  </w:style>
  <w:style w:type="character" w:customStyle="1" w:styleId="15">
    <w:name w:val="ListLabel 2"/>
    <w:qFormat/>
    <w:uiPriority w:val="0"/>
    <w:rPr>
      <w:sz w:val="40"/>
    </w:rPr>
  </w:style>
  <w:style w:type="character" w:customStyle="1" w:styleId="16">
    <w:name w:val="ListLabel 3"/>
    <w:qFormat/>
    <w:uiPriority w:val="0"/>
    <w:rPr>
      <w:b/>
      <w:sz w:val="40"/>
    </w:rPr>
  </w:style>
  <w:style w:type="character" w:customStyle="1" w:styleId="17">
    <w:name w:val="ListLabel 4"/>
    <w:qFormat/>
    <w:uiPriority w:val="0"/>
    <w:rPr>
      <w:sz w:val="26"/>
    </w:rPr>
  </w:style>
  <w:style w:type="character" w:customStyle="1" w:styleId="18">
    <w:name w:val="Numbering Symbols"/>
    <w:qFormat/>
    <w:uiPriority w:val="0"/>
  </w:style>
  <w:style w:type="character" w:customStyle="1" w:styleId="19">
    <w:name w:val="Header Char"/>
    <w:basedOn w:val="2"/>
    <w:qFormat/>
    <w:uiPriority w:val="99"/>
    <w:rPr>
      <w:color w:val="00000A"/>
      <w:sz w:val="24"/>
      <w:szCs w:val="24"/>
      <w:lang w:eastAsia="zh-CN"/>
    </w:rPr>
  </w:style>
  <w:style w:type="paragraph" w:customStyle="1" w:styleId="20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FreeSans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customStyle="1" w:styleId="23">
    <w:name w:val="Table Contents"/>
    <w:basedOn w:val="1"/>
    <w:qFormat/>
    <w:uiPriority w:val="0"/>
  </w:style>
  <w:style w:type="paragraph" w:customStyle="1" w:styleId="24">
    <w:name w:val="Table Heading"/>
    <w:basedOn w:val="23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75E4B6-638B-4FB5-8F7E-CF166AFE0D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</Words>
  <Characters>348</Characters>
  <Lines>2</Lines>
  <Paragraphs>1</Paragraphs>
  <TotalTime>6</TotalTime>
  <ScaleCrop>false</ScaleCrop>
  <LinksUpToDate>false</LinksUpToDate>
  <CharactersWithSpaces>386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2022-09-02T09:27:00Z</dcterms:created>
  <dc:creator>acer</dc:creator>
  <cp:lastModifiedBy>hp</cp:lastModifiedBy>
  <cp:lastPrinted>2014-07-02T05:54:00Z</cp:lastPrinted>
  <dcterms:modified xsi:type="dcterms:W3CDTF">2026-08-24T09:56:25Z</dcterms:modified>
  <dc:title>NMAM Institute of Technology, Nitte – 574110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eyJoZGlkIjoiOTFkNjExMmNhMTg1NThiNjIzNGUxZTI3NDY1NzMyYmIiLCJ1c2VySWQiOiI1Njc1Mjk5NzIzNTAifQ==</vt:lpwstr>
  </property>
  <property fmtid="{D5CDD505-2E9C-101B-9397-08002B2CF9AE}" pid="9" name="KSOProductBuildVer">
    <vt:lpwstr>1033-12.1.0.28032</vt:lpwstr>
  </property>
  <property fmtid="{D5CDD505-2E9C-101B-9397-08002B2CF9AE}" pid="10" name="ICV">
    <vt:lpwstr>3FBAE13505A446B3AC7CB3DCF7D0524C_13</vt:lpwstr>
  </property>
</Properties>
</file>