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t>Intelligent Document Processing (IDP)</w:t>
      </w:r>
    </w:p>
    <w:p>
      <w:pPr>
        <w:jc w:val="center"/>
      </w:pPr>
      <w:r>
        <w:rPr>
          <w:b/>
          <w:color w:val="2E74B5"/>
          <w:sz w:val="30"/>
        </w:rPr>
        <w:t>Interview Preparation Guide</w:t>
      </w:r>
    </w:p>
    <w:p>
      <w:pPr>
        <w:jc w:val="center"/>
      </w:pPr>
      <w:r>
        <w:rPr>
          <w:i/>
          <w:color w:val="595959"/>
          <w:sz w:val="20"/>
        </w:rPr>
        <w:t>End-to-End Flow  •  Why Each Technology  •  Code Snippets  •  Challenges  •  Key Numbers</w:t>
      </w:r>
    </w:p>
    <w:p/>
    <w:p>
      <w:pPr>
        <w:pStyle w:val="Heading1"/>
        <w:jc w:val="left"/>
      </w:pPr>
      <w:r>
        <w:rPr>
          <w:color w:val="1F497D"/>
        </w:rPr>
        <w:t>1. Problem Statement</w:t>
      </w:r>
    </w:p>
    <w:p>
      <w:pPr>
        <w:spacing w:before="40" w:after="80"/>
      </w:pPr>
      <w:r>
        <w:rPr>
          <w:b w:val="0"/>
          <w:i w:val="0"/>
          <w:sz w:val="20"/>
        </w:rPr>
        <w:t>Universities manually verify student admission documents — checking if the name on the 10th marksheet matches the Aadhar card, confirming DOBs, validating percentages, and checking eligibility criteria. This is slow, error-prone, and does not scale.</w:t>
      </w:r>
    </w:p>
    <w:p>
      <w:pPr>
        <w:spacing w:before="40" w:after="80"/>
      </w:pPr>
      <w:r>
        <w:rPr>
          <w:b w:val="0"/>
          <w:i w:val="0"/>
          <w:sz w:val="20"/>
        </w:rPr>
        <w:t>IDP automates this entirely. A student submits three documents and the system extracts all fields using AI, cross-validates them, checks eligibility rules, and delivers an APPROVED / REJECTED / REVIEW_REQUIRED decision — no manual intervention required.</w:t>
      </w:r>
    </w:p>
    <w:p>
      <w:pPr>
        <w:pStyle w:val="Heading1"/>
        <w:jc w:val="left"/>
      </w:pPr>
      <w:r>
        <w:rPr>
          <w:color w:val="1F497D"/>
        </w:rPr>
        <w:t>2. Project Phases — How I Built It (9 Days)</w:t>
      </w:r>
    </w:p>
    <w:tbl>
      <w:tblPr>
        <w:tblStyle w:val="TableGrid"/>
        <w:tblW w:type="auto" w:w="0"/>
        <w:tblLook w:firstColumn="1" w:firstRow="1" w:lastColumn="0" w:lastRow="0" w:noHBand="0" w:noVBand="1" w:val="04A0"/>
      </w:tblPr>
      <w:tblGrid>
        <w:gridCol w:w="3249"/>
        <w:gridCol w:w="3249"/>
        <w:gridCol w:w="3249"/>
      </w:tblGrid>
      <w:tr>
        <w:tc>
          <w:tcPr>
            <w:tcW w:type="dxa" w:w="1080"/>
            <w:shd w:val="clear" w:color="auto" w:fill="1F497D"/>
          </w:tcPr>
          <w:p>
            <w:r>
              <w:rPr>
                <w:b/>
                <w:color w:val="FFFFFF"/>
                <w:sz w:val="18"/>
              </w:rPr>
              <w:t>Phase</w:t>
            </w:r>
          </w:p>
        </w:tc>
        <w:tc>
          <w:tcPr>
            <w:tcW w:type="dxa" w:w="3168"/>
            <w:shd w:val="clear" w:color="auto" w:fill="1F497D"/>
          </w:tcPr>
          <w:p>
            <w:r>
              <w:rPr>
                <w:b/>
                <w:color w:val="FFFFFF"/>
                <w:sz w:val="18"/>
              </w:rPr>
              <w:t>Phase Name</w:t>
            </w:r>
          </w:p>
        </w:tc>
        <w:tc>
          <w:tcPr>
            <w:tcW w:type="dxa" w:w="5760"/>
            <w:shd w:val="clear" w:color="auto" w:fill="1F497D"/>
          </w:tcPr>
          <w:p>
            <w:r>
              <w:rPr>
                <w:b/>
                <w:color w:val="FFFFFF"/>
                <w:sz w:val="18"/>
              </w:rPr>
              <w:t>What Was Built</w:t>
            </w:r>
          </w:p>
        </w:tc>
      </w:tr>
      <w:tr>
        <w:tc>
          <w:tcPr>
            <w:tcW w:type="dxa" w:w="1080"/>
            <w:shd w:val="clear" w:color="auto" w:fill="EBF3FB"/>
          </w:tcPr>
          <w:p>
            <w:r>
              <w:rPr>
                <w:sz w:val="18"/>
              </w:rPr>
              <w:t>Phase 0</w:t>
            </w:r>
          </w:p>
        </w:tc>
        <w:tc>
          <w:tcPr>
            <w:tcW w:type="dxa" w:w="3168"/>
            <w:shd w:val="clear" w:color="auto" w:fill="EBF3FB"/>
          </w:tcPr>
          <w:p>
            <w:r>
              <w:rPr>
                <w:sz w:val="18"/>
              </w:rPr>
              <w:t>Project Setup</w:t>
            </w:r>
          </w:p>
        </w:tc>
        <w:tc>
          <w:tcPr>
            <w:tcW w:type="dxa" w:w="5760"/>
            <w:shd w:val="clear" w:color="auto" w:fill="EBF3FB"/>
          </w:tcPr>
          <w:p>
            <w:r>
              <w:rPr>
                <w:sz w:val="18"/>
              </w:rPr>
              <w:t>Monorepo structure, FastAPI venv, Spring Boot via Initializr, SQLite + H2 DB initialisation</w:t>
            </w:r>
          </w:p>
        </w:tc>
      </w:tr>
      <w:tr>
        <w:tc>
          <w:tcPr>
            <w:tcW w:type="dxa" w:w="1080"/>
            <w:shd w:val="clear" w:color="auto" w:fill="FFFFFF"/>
          </w:tcPr>
          <w:p>
            <w:r>
              <w:rPr>
                <w:sz w:val="18"/>
              </w:rPr>
              <w:t>Phase 1</w:t>
            </w:r>
          </w:p>
        </w:tc>
        <w:tc>
          <w:tcPr>
            <w:tcW w:type="dxa" w:w="3168"/>
            <w:shd w:val="clear" w:color="auto" w:fill="FFFFFF"/>
          </w:tcPr>
          <w:p>
            <w:r>
              <w:rPr>
                <w:sz w:val="18"/>
              </w:rPr>
              <w:t>Spring Boot Foundation</w:t>
            </w:r>
          </w:p>
        </w:tc>
        <w:tc>
          <w:tcPr>
            <w:tcW w:type="dxa" w:w="5760"/>
            <w:shd w:val="clear" w:color="auto" w:fill="FFFFFF"/>
          </w:tcPr>
          <w:p>
            <w:r>
              <w:rPr>
                <w:sz w:val="18"/>
              </w:rPr>
              <w:t>Student &amp; Application entities, JPA repositories, REST controllers (CRUD), DTOs, global exception handler</w:t>
            </w:r>
          </w:p>
        </w:tc>
      </w:tr>
      <w:tr>
        <w:tc>
          <w:tcPr>
            <w:tcW w:type="dxa" w:w="1080"/>
            <w:shd w:val="clear" w:color="auto" w:fill="EBF3FB"/>
          </w:tcPr>
          <w:p>
            <w:r>
              <w:rPr>
                <w:sz w:val="18"/>
              </w:rPr>
              <w:t>Phase 2</w:t>
            </w:r>
          </w:p>
        </w:tc>
        <w:tc>
          <w:tcPr>
            <w:tcW w:type="dxa" w:w="3168"/>
            <w:shd w:val="clear" w:color="auto" w:fill="EBF3FB"/>
          </w:tcPr>
          <w:p>
            <w:r>
              <w:rPr>
                <w:sz w:val="18"/>
              </w:rPr>
              <w:t>FastAPI Foundation</w:t>
            </w:r>
          </w:p>
        </w:tc>
        <w:tc>
          <w:tcPr>
            <w:tcW w:type="dxa" w:w="5760"/>
            <w:shd w:val="clear" w:color="auto" w:fill="EBF3FB"/>
          </w:tcPr>
          <w:p>
            <w:r>
              <w:rPr>
                <w:sz w:val="18"/>
              </w:rPr>
              <w:t>FastAPI app, SQLAlchemy async models, document upload endpoint, Pydantic schemas, health check</w:t>
            </w:r>
          </w:p>
        </w:tc>
      </w:tr>
      <w:tr>
        <w:tc>
          <w:tcPr>
            <w:tcW w:type="dxa" w:w="1080"/>
            <w:shd w:val="clear" w:color="auto" w:fill="FFFFFF"/>
          </w:tcPr>
          <w:p>
            <w:r>
              <w:rPr>
                <w:sz w:val="18"/>
              </w:rPr>
              <w:t>Phase 3</w:t>
            </w:r>
          </w:p>
        </w:tc>
        <w:tc>
          <w:tcPr>
            <w:tcW w:type="dxa" w:w="3168"/>
            <w:shd w:val="clear" w:color="auto" w:fill="FFFFFF"/>
          </w:tcPr>
          <w:p>
            <w:r>
              <w:rPr>
                <w:sz w:val="18"/>
              </w:rPr>
              <w:t>Document Extraction Service</w:t>
            </w:r>
          </w:p>
        </w:tc>
        <w:tc>
          <w:tcPr>
            <w:tcW w:type="dxa" w:w="5760"/>
            <w:shd w:val="clear" w:color="auto" w:fill="FFFFFF"/>
          </w:tcPr>
          <w:p>
            <w:r>
              <w:rPr>
                <w:sz w:val="18"/>
              </w:rPr>
              <w:t>GPT-4o Vision extractor for 10th marksheet, 12th marksheet, Aadhar — per-field confidence scores</w:t>
            </w:r>
          </w:p>
        </w:tc>
      </w:tr>
      <w:tr>
        <w:tc>
          <w:tcPr>
            <w:tcW w:type="dxa" w:w="1080"/>
            <w:shd w:val="clear" w:color="auto" w:fill="EBF3FB"/>
          </w:tcPr>
          <w:p>
            <w:r>
              <w:rPr>
                <w:sz w:val="18"/>
              </w:rPr>
              <w:t>Phase 4</w:t>
            </w:r>
          </w:p>
        </w:tc>
        <w:tc>
          <w:tcPr>
            <w:tcW w:type="dxa" w:w="3168"/>
            <w:shd w:val="clear" w:color="auto" w:fill="EBF3FB"/>
          </w:tcPr>
          <w:p>
            <w:r>
              <w:rPr>
                <w:sz w:val="18"/>
              </w:rPr>
              <w:t>Validation Engine</w:t>
            </w:r>
          </w:p>
        </w:tc>
        <w:tc>
          <w:tcPr>
            <w:tcW w:type="dxa" w:w="5760"/>
            <w:shd w:val="clear" w:color="auto" w:fill="EBF3FB"/>
          </w:tcPr>
          <w:p>
            <w:r>
              <w:rPr>
                <w:sz w:val="18"/>
              </w:rPr>
              <w:t>Required field checks, fuzzy name matching, DOB cross-check, percentage eligibility, decision engine</w:t>
            </w:r>
          </w:p>
        </w:tc>
      </w:tr>
      <w:tr>
        <w:tc>
          <w:tcPr>
            <w:tcW w:type="dxa" w:w="1080"/>
            <w:shd w:val="clear" w:color="auto" w:fill="FFFFFF"/>
          </w:tcPr>
          <w:p>
            <w:r>
              <w:rPr>
                <w:sz w:val="18"/>
              </w:rPr>
              <w:t>Phase 5</w:t>
            </w:r>
          </w:p>
        </w:tc>
        <w:tc>
          <w:tcPr>
            <w:tcW w:type="dxa" w:w="3168"/>
            <w:shd w:val="clear" w:color="auto" w:fill="FFFFFF"/>
          </w:tcPr>
          <w:p>
            <w:r>
              <w:rPr>
                <w:sz w:val="18"/>
              </w:rPr>
              <w:t>RAG Knowledge Base</w:t>
            </w:r>
          </w:p>
        </w:tc>
        <w:tc>
          <w:tcPr>
            <w:tcW w:type="dxa" w:w="5760"/>
            <w:shd w:val="clear" w:color="auto" w:fill="FFFFFF"/>
          </w:tcPr>
          <w:p>
            <w:r>
              <w:rPr>
                <w:sz w:val="18"/>
              </w:rPr>
              <w:t>LangChain + Qdrant in-memory vector store, eligibility rule ingestion, RAG query + eligibility service</w:t>
            </w:r>
          </w:p>
        </w:tc>
      </w:tr>
      <w:tr>
        <w:tc>
          <w:tcPr>
            <w:tcW w:type="dxa" w:w="1080"/>
            <w:shd w:val="clear" w:color="auto" w:fill="EBF3FB"/>
          </w:tcPr>
          <w:p>
            <w:r>
              <w:rPr>
                <w:sz w:val="18"/>
              </w:rPr>
              <w:t>Phase 6</w:t>
            </w:r>
          </w:p>
        </w:tc>
        <w:tc>
          <w:tcPr>
            <w:tcW w:type="dxa" w:w="3168"/>
            <w:shd w:val="clear" w:color="auto" w:fill="EBF3FB"/>
          </w:tcPr>
          <w:p>
            <w:r>
              <w:rPr>
                <w:sz w:val="18"/>
              </w:rPr>
              <w:t>Verification Workflow + Integration</w:t>
            </w:r>
          </w:p>
        </w:tc>
        <w:tc>
          <w:tcPr>
            <w:tcW w:type="dxa" w:w="5760"/>
            <w:shd w:val="clear" w:color="auto" w:fill="EBF3FB"/>
          </w:tcPr>
          <w:p>
            <w:r>
              <w:rPr>
                <w:sz w:val="18"/>
              </w:rPr>
              <w:t>Kafka async pipeline, verify endpoints, Spring Boot WebClient integration, ERP callback</w:t>
            </w:r>
          </w:p>
        </w:tc>
      </w:tr>
      <w:tr>
        <w:tc>
          <w:tcPr>
            <w:tcW w:type="dxa" w:w="1080"/>
            <w:shd w:val="clear" w:color="auto" w:fill="FFFFFF"/>
          </w:tcPr>
          <w:p>
            <w:r>
              <w:rPr>
                <w:sz w:val="18"/>
              </w:rPr>
              <w:t>Phase 7</w:t>
            </w:r>
          </w:p>
        </w:tc>
        <w:tc>
          <w:tcPr>
            <w:tcW w:type="dxa" w:w="3168"/>
            <w:shd w:val="clear" w:color="auto" w:fill="FFFFFF"/>
          </w:tcPr>
          <w:p>
            <w:r>
              <w:rPr>
                <w:sz w:val="18"/>
              </w:rPr>
              <w:t>Streamlit UI</w:t>
            </w:r>
          </w:p>
        </w:tc>
        <w:tc>
          <w:tcPr>
            <w:tcW w:type="dxa" w:w="5760"/>
            <w:shd w:val="clear" w:color="auto" w:fill="FFFFFF"/>
          </w:tcPr>
          <w:p>
            <w:r>
              <w:rPr>
                <w:sz w:val="18"/>
              </w:rPr>
              <w:t>4 pages: New Application, Applications List, Pipeline Status (live polling), Verification Report</w:t>
            </w:r>
          </w:p>
        </w:tc>
      </w:tr>
      <w:tr>
        <w:tc>
          <w:tcPr>
            <w:tcW w:type="dxa" w:w="1080"/>
            <w:shd w:val="clear" w:color="auto" w:fill="EBF3FB"/>
          </w:tcPr>
          <w:p>
            <w:r>
              <w:rPr>
                <w:sz w:val="18"/>
              </w:rPr>
              <w:t>Phase 8</w:t>
            </w:r>
          </w:p>
        </w:tc>
        <w:tc>
          <w:tcPr>
            <w:tcW w:type="dxa" w:w="3168"/>
            <w:shd w:val="clear" w:color="auto" w:fill="EBF3FB"/>
          </w:tcPr>
          <w:p>
            <w:r>
              <w:rPr>
                <w:sz w:val="18"/>
              </w:rPr>
              <w:t>Testing and Stabilisation</w:t>
            </w:r>
          </w:p>
        </w:tc>
        <w:tc>
          <w:tcPr>
            <w:tcW w:type="dxa" w:w="5760"/>
            <w:shd w:val="clear" w:color="auto" w:fill="EBF3FB"/>
          </w:tcPr>
          <w:p>
            <w:r>
              <w:rPr>
                <w:sz w:val="18"/>
              </w:rPr>
              <w:t>pytest (FastAPI), JUnit 5 + Mockito (Spring Boot), bug fixes, prompt tuning, edge cases</w:t>
            </w:r>
          </w:p>
        </w:tc>
      </w:tr>
    </w:tbl>
    <w:p/>
    <w:p>
      <w:pPr>
        <w:pStyle w:val="Heading1"/>
        <w:jc w:val="left"/>
      </w:pPr>
      <w:r>
        <w:rPr>
          <w:color w:val="1F497D"/>
        </w:rPr>
        <w:t>3. System Architecture</w:t>
      </w:r>
    </w:p>
    <w:tbl>
      <w:tblPr>
        <w:tblStyle w:val="TableGrid"/>
        <w:tblW w:type="auto" w:w="0"/>
        <w:tblLook w:firstColumn="1" w:firstRow="1" w:lastColumn="0" w:lastRow="0" w:noHBand="0" w:noVBand="1" w:val="04A0"/>
      </w:tblPr>
      <w:tblGrid>
        <w:gridCol w:w="2436"/>
        <w:gridCol w:w="2436"/>
        <w:gridCol w:w="2436"/>
        <w:gridCol w:w="2436"/>
      </w:tblGrid>
      <w:tr>
        <w:tc>
          <w:tcPr>
            <w:tcW w:type="dxa" w:w="2160"/>
            <w:shd w:val="clear" w:color="auto" w:fill="1F497D"/>
          </w:tcPr>
          <w:p>
            <w:r>
              <w:rPr>
                <w:b/>
                <w:color w:val="FFFFFF"/>
                <w:sz w:val="18"/>
              </w:rPr>
              <w:t>Component</w:t>
            </w:r>
          </w:p>
        </w:tc>
        <w:tc>
          <w:tcPr>
            <w:tcW w:type="dxa" w:w="2880"/>
            <w:shd w:val="clear" w:color="auto" w:fill="1F497D"/>
          </w:tcPr>
          <w:p>
            <w:r>
              <w:rPr>
                <w:b/>
                <w:color w:val="FFFFFF"/>
                <w:sz w:val="18"/>
              </w:rPr>
              <w:t>Technology</w:t>
            </w:r>
          </w:p>
        </w:tc>
        <w:tc>
          <w:tcPr>
            <w:tcW w:type="dxa" w:w="792"/>
            <w:shd w:val="clear" w:color="auto" w:fill="1F497D"/>
          </w:tcPr>
          <w:p>
            <w:r>
              <w:rPr>
                <w:b/>
                <w:color w:val="FFFFFF"/>
                <w:sz w:val="18"/>
              </w:rPr>
              <w:t>Port</w:t>
            </w:r>
          </w:p>
        </w:tc>
        <w:tc>
          <w:tcPr>
            <w:tcW w:type="dxa" w:w="4176"/>
            <w:shd w:val="clear" w:color="auto" w:fill="1F497D"/>
          </w:tcPr>
          <w:p>
            <w:r>
              <w:rPr>
                <w:b/>
                <w:color w:val="FFFFFF"/>
                <w:sz w:val="18"/>
              </w:rPr>
              <w:t>Role</w:t>
            </w:r>
          </w:p>
        </w:tc>
      </w:tr>
      <w:tr>
        <w:tc>
          <w:tcPr>
            <w:tcW w:type="dxa" w:w="2160"/>
            <w:shd w:val="clear" w:color="auto" w:fill="EBF3FB"/>
          </w:tcPr>
          <w:p>
            <w:r>
              <w:rPr>
                <w:sz w:val="18"/>
              </w:rPr>
              <w:t>Streamlit UI</w:t>
            </w:r>
          </w:p>
        </w:tc>
        <w:tc>
          <w:tcPr>
            <w:tcW w:type="dxa" w:w="2880"/>
            <w:shd w:val="clear" w:color="auto" w:fill="EBF3FB"/>
          </w:tcPr>
          <w:p>
            <w:r>
              <w:rPr>
                <w:sz w:val="18"/>
              </w:rPr>
              <w:t>Python · Streamlit</w:t>
            </w:r>
          </w:p>
        </w:tc>
        <w:tc>
          <w:tcPr>
            <w:tcW w:type="dxa" w:w="792"/>
            <w:shd w:val="clear" w:color="auto" w:fill="EBF3FB"/>
          </w:tcPr>
          <w:p>
            <w:r>
              <w:rPr>
                <w:sz w:val="18"/>
              </w:rPr>
              <w:t>8501</w:t>
            </w:r>
          </w:p>
        </w:tc>
        <w:tc>
          <w:tcPr>
            <w:tcW w:type="dxa" w:w="4176"/>
            <w:shd w:val="clear" w:color="auto" w:fill="EBF3FB"/>
          </w:tcPr>
          <w:p>
            <w:r>
              <w:rPr>
                <w:sz w:val="18"/>
              </w:rPr>
              <w:t>Admin frontend — upload, trigger, reports</w:t>
            </w:r>
          </w:p>
        </w:tc>
      </w:tr>
      <w:tr>
        <w:tc>
          <w:tcPr>
            <w:tcW w:type="dxa" w:w="2160"/>
            <w:shd w:val="clear" w:color="auto" w:fill="FFFFFF"/>
          </w:tcPr>
          <w:p>
            <w:r>
              <w:rPr>
                <w:sz w:val="18"/>
              </w:rPr>
              <w:t>FastAPI AI Service</w:t>
            </w:r>
          </w:p>
        </w:tc>
        <w:tc>
          <w:tcPr>
            <w:tcW w:type="dxa" w:w="2880"/>
            <w:shd w:val="clear" w:color="auto" w:fill="FFFFFF"/>
          </w:tcPr>
          <w:p>
            <w:r>
              <w:rPr>
                <w:sz w:val="18"/>
              </w:rPr>
              <w:t>Python · FastAPI · SQLAlchemy async</w:t>
            </w:r>
          </w:p>
        </w:tc>
        <w:tc>
          <w:tcPr>
            <w:tcW w:type="dxa" w:w="792"/>
            <w:shd w:val="clear" w:color="auto" w:fill="FFFFFF"/>
          </w:tcPr>
          <w:p>
            <w:r>
              <w:rPr>
                <w:sz w:val="18"/>
              </w:rPr>
              <w:t>8000</w:t>
            </w:r>
          </w:p>
        </w:tc>
        <w:tc>
          <w:tcPr>
            <w:tcW w:type="dxa" w:w="4176"/>
            <w:shd w:val="clear" w:color="auto" w:fill="FFFFFF"/>
          </w:tcPr>
          <w:p>
            <w:r>
              <w:rPr>
                <w:sz w:val="18"/>
              </w:rPr>
              <w:t>Document storage, AI extraction, validation</w:t>
            </w:r>
          </w:p>
        </w:tc>
      </w:tr>
      <w:tr>
        <w:tc>
          <w:tcPr>
            <w:tcW w:type="dxa" w:w="2160"/>
            <w:shd w:val="clear" w:color="auto" w:fill="EBF3FB"/>
          </w:tcPr>
          <w:p>
            <w:r>
              <w:rPr>
                <w:sz w:val="18"/>
              </w:rPr>
              <w:t>Spring Boot ERP</w:t>
            </w:r>
          </w:p>
        </w:tc>
        <w:tc>
          <w:tcPr>
            <w:tcW w:type="dxa" w:w="2880"/>
            <w:shd w:val="clear" w:color="auto" w:fill="EBF3FB"/>
          </w:tcPr>
          <w:p>
            <w:r>
              <w:rPr>
                <w:sz w:val="18"/>
              </w:rPr>
              <w:t>Java · Spring Boot · WebFlux</w:t>
            </w:r>
          </w:p>
        </w:tc>
        <w:tc>
          <w:tcPr>
            <w:tcW w:type="dxa" w:w="792"/>
            <w:shd w:val="clear" w:color="auto" w:fill="EBF3FB"/>
          </w:tcPr>
          <w:p>
            <w:r>
              <w:rPr>
                <w:sz w:val="18"/>
              </w:rPr>
              <w:t>8080</w:t>
            </w:r>
          </w:p>
        </w:tc>
        <w:tc>
          <w:tcPr>
            <w:tcW w:type="dxa" w:w="4176"/>
            <w:shd w:val="clear" w:color="auto" w:fill="EBF3FB"/>
          </w:tcPr>
          <w:p>
            <w:r>
              <w:rPr>
                <w:sz w:val="18"/>
              </w:rPr>
              <w:t>Student/application lifecycle, decision storage</w:t>
            </w:r>
          </w:p>
        </w:tc>
      </w:tr>
      <w:tr>
        <w:tc>
          <w:tcPr>
            <w:tcW w:type="dxa" w:w="2160"/>
            <w:shd w:val="clear" w:color="auto" w:fill="FFFFFF"/>
          </w:tcPr>
          <w:p>
            <w:r>
              <w:rPr>
                <w:sz w:val="18"/>
              </w:rPr>
              <w:t>Kafka Broker</w:t>
            </w:r>
          </w:p>
        </w:tc>
        <w:tc>
          <w:tcPr>
            <w:tcW w:type="dxa" w:w="2880"/>
            <w:shd w:val="clear" w:color="auto" w:fill="FFFFFF"/>
          </w:tcPr>
          <w:p>
            <w:r>
              <w:rPr>
                <w:sz w:val="18"/>
              </w:rPr>
              <w:t>Apache Kafka (KRaft, no Zookeeper)</w:t>
            </w:r>
          </w:p>
        </w:tc>
        <w:tc>
          <w:tcPr>
            <w:tcW w:type="dxa" w:w="792"/>
            <w:shd w:val="clear" w:color="auto" w:fill="FFFFFF"/>
          </w:tcPr>
          <w:p>
            <w:r>
              <w:rPr>
                <w:sz w:val="18"/>
              </w:rPr>
              <w:t>9092</w:t>
            </w:r>
          </w:p>
        </w:tc>
        <w:tc>
          <w:tcPr>
            <w:tcW w:type="dxa" w:w="4176"/>
            <w:shd w:val="clear" w:color="auto" w:fill="FFFFFF"/>
          </w:tcPr>
          <w:p>
            <w:r>
              <w:rPr>
                <w:sz w:val="18"/>
              </w:rPr>
              <w:t>Async queue — decouples upload from extraction</w:t>
            </w:r>
          </w:p>
        </w:tc>
      </w:tr>
      <w:tr>
        <w:tc>
          <w:tcPr>
            <w:tcW w:type="dxa" w:w="2160"/>
            <w:shd w:val="clear" w:color="auto" w:fill="EBF3FB"/>
          </w:tcPr>
          <w:p>
            <w:r>
              <w:rPr>
                <w:sz w:val="18"/>
              </w:rPr>
              <w:t>Kafka Consumer</w:t>
            </w:r>
          </w:p>
        </w:tc>
        <w:tc>
          <w:tcPr>
            <w:tcW w:type="dxa" w:w="2880"/>
            <w:shd w:val="clear" w:color="auto" w:fill="EBF3FB"/>
          </w:tcPr>
          <w:p>
            <w:r>
              <w:rPr>
                <w:sz w:val="18"/>
              </w:rPr>
              <w:t>Python · kafka-python (separate process)</w:t>
            </w:r>
          </w:p>
        </w:tc>
        <w:tc>
          <w:tcPr>
            <w:tcW w:type="dxa" w:w="792"/>
            <w:shd w:val="clear" w:color="auto" w:fill="EBF3FB"/>
          </w:tcPr>
          <w:p>
            <w:r>
              <w:rPr>
                <w:sz w:val="18"/>
              </w:rPr>
              <w:t>—</w:t>
            </w:r>
          </w:p>
        </w:tc>
        <w:tc>
          <w:tcPr>
            <w:tcW w:type="dxa" w:w="4176"/>
            <w:shd w:val="clear" w:color="auto" w:fill="EBF3FB"/>
          </w:tcPr>
          <w:p>
            <w:r>
              <w:rPr>
                <w:sz w:val="18"/>
              </w:rPr>
              <w:t>Reads messages, calls GPT-4o, saves results</w:t>
            </w:r>
          </w:p>
        </w:tc>
      </w:tr>
      <w:tr>
        <w:tc>
          <w:tcPr>
            <w:tcW w:type="dxa" w:w="2160"/>
            <w:shd w:val="clear" w:color="auto" w:fill="FFFFFF"/>
          </w:tcPr>
          <w:p>
            <w:r>
              <w:rPr>
                <w:sz w:val="18"/>
              </w:rPr>
              <w:t>GPT-4o Vision</w:t>
            </w:r>
          </w:p>
        </w:tc>
        <w:tc>
          <w:tcPr>
            <w:tcW w:type="dxa" w:w="2880"/>
            <w:shd w:val="clear" w:color="auto" w:fill="FFFFFF"/>
          </w:tcPr>
          <w:p>
            <w:r>
              <w:rPr>
                <w:sz w:val="18"/>
              </w:rPr>
              <w:t>OpenAI API</w:t>
            </w:r>
          </w:p>
        </w:tc>
        <w:tc>
          <w:tcPr>
            <w:tcW w:type="dxa" w:w="792"/>
            <w:shd w:val="clear" w:color="auto" w:fill="FFFFFF"/>
          </w:tcPr>
          <w:p>
            <w:r>
              <w:rPr>
                <w:sz w:val="18"/>
              </w:rPr>
              <w:t>—</w:t>
            </w:r>
          </w:p>
        </w:tc>
        <w:tc>
          <w:tcPr>
            <w:tcW w:type="dxa" w:w="4176"/>
            <w:shd w:val="clear" w:color="auto" w:fill="FFFFFF"/>
          </w:tcPr>
          <w:p>
            <w:r>
              <w:rPr>
                <w:sz w:val="18"/>
              </w:rPr>
              <w:t>OCR + structured data extraction from documents</w:t>
            </w:r>
          </w:p>
        </w:tc>
      </w:tr>
      <w:tr>
        <w:tc>
          <w:tcPr>
            <w:tcW w:type="dxa" w:w="2160"/>
            <w:shd w:val="clear" w:color="auto" w:fill="EBF3FB"/>
          </w:tcPr>
          <w:p>
            <w:r>
              <w:rPr>
                <w:sz w:val="18"/>
              </w:rPr>
              <w:t>Qdrant Vector Store</w:t>
            </w:r>
          </w:p>
        </w:tc>
        <w:tc>
          <w:tcPr>
            <w:tcW w:type="dxa" w:w="2880"/>
            <w:shd w:val="clear" w:color="auto" w:fill="EBF3FB"/>
          </w:tcPr>
          <w:p>
            <w:r>
              <w:rPr>
                <w:sz w:val="18"/>
              </w:rPr>
              <w:t>LangChain + Qdrant in-memory</w:t>
            </w:r>
          </w:p>
        </w:tc>
        <w:tc>
          <w:tcPr>
            <w:tcW w:type="dxa" w:w="792"/>
            <w:shd w:val="clear" w:color="auto" w:fill="EBF3FB"/>
          </w:tcPr>
          <w:p>
            <w:r>
              <w:rPr>
                <w:sz w:val="18"/>
              </w:rPr>
              <w:t>—</w:t>
            </w:r>
          </w:p>
        </w:tc>
        <w:tc>
          <w:tcPr>
            <w:tcW w:type="dxa" w:w="4176"/>
            <w:shd w:val="clear" w:color="auto" w:fill="EBF3FB"/>
          </w:tcPr>
          <w:p>
            <w:r>
              <w:rPr>
                <w:sz w:val="18"/>
              </w:rPr>
              <w:t>RAG knowledge base for eligibility rules</w:t>
            </w:r>
          </w:p>
        </w:tc>
      </w:tr>
      <w:tr>
        <w:tc>
          <w:tcPr>
            <w:tcW w:type="dxa" w:w="2160"/>
            <w:shd w:val="clear" w:color="auto" w:fill="FFFFFF"/>
          </w:tcPr>
          <w:p>
            <w:r>
              <w:rPr>
                <w:sz w:val="18"/>
              </w:rPr>
              <w:t>SQLite</w:t>
            </w:r>
          </w:p>
        </w:tc>
        <w:tc>
          <w:tcPr>
            <w:tcW w:type="dxa" w:w="2880"/>
            <w:shd w:val="clear" w:color="auto" w:fill="FFFFFF"/>
          </w:tcPr>
          <w:p>
            <w:r>
              <w:rPr>
                <w:sz w:val="18"/>
              </w:rPr>
              <w:t>aiosqlite · SQLAlchemy async</w:t>
            </w:r>
          </w:p>
        </w:tc>
        <w:tc>
          <w:tcPr>
            <w:tcW w:type="dxa" w:w="792"/>
            <w:shd w:val="clear" w:color="auto" w:fill="FFFFFF"/>
          </w:tcPr>
          <w:p>
            <w:r>
              <w:rPr>
                <w:sz w:val="18"/>
              </w:rPr>
              <w:t>—</w:t>
            </w:r>
          </w:p>
        </w:tc>
        <w:tc>
          <w:tcPr>
            <w:tcW w:type="dxa" w:w="4176"/>
            <w:shd w:val="clear" w:color="auto" w:fill="FFFFFF"/>
          </w:tcPr>
          <w:p>
            <w:r>
              <w:rPr>
                <w:sz w:val="18"/>
              </w:rPr>
              <w:t>FastAPI DB — documents, extractions, validations</w:t>
            </w:r>
          </w:p>
        </w:tc>
      </w:tr>
      <w:tr>
        <w:tc>
          <w:tcPr>
            <w:tcW w:type="dxa" w:w="2160"/>
            <w:shd w:val="clear" w:color="auto" w:fill="EBF3FB"/>
          </w:tcPr>
          <w:p>
            <w:r>
              <w:rPr>
                <w:sz w:val="18"/>
              </w:rPr>
              <w:t>H2 Database</w:t>
            </w:r>
          </w:p>
        </w:tc>
        <w:tc>
          <w:tcPr>
            <w:tcW w:type="dxa" w:w="2880"/>
            <w:shd w:val="clear" w:color="auto" w:fill="EBF3FB"/>
          </w:tcPr>
          <w:p>
            <w:r>
              <w:rPr>
                <w:sz w:val="18"/>
              </w:rPr>
              <w:t>In-memory JDBC (Spring Boot)</w:t>
            </w:r>
          </w:p>
        </w:tc>
        <w:tc>
          <w:tcPr>
            <w:tcW w:type="dxa" w:w="792"/>
            <w:shd w:val="clear" w:color="auto" w:fill="EBF3FB"/>
          </w:tcPr>
          <w:p>
            <w:r>
              <w:rPr>
                <w:sz w:val="18"/>
              </w:rPr>
              <w:t>—</w:t>
            </w:r>
          </w:p>
        </w:tc>
        <w:tc>
          <w:tcPr>
            <w:tcW w:type="dxa" w:w="4176"/>
            <w:shd w:val="clear" w:color="auto" w:fill="EBF3FB"/>
          </w:tcPr>
          <w:p>
            <w:r>
              <w:rPr>
                <w:sz w:val="18"/>
              </w:rPr>
              <w:t>ERP DB — students, applications, decisions</w:t>
            </w:r>
          </w:p>
        </w:tc>
      </w:tr>
    </w:tbl>
    <w:p/>
    <w:p>
      <w:pPr>
        <w:pStyle w:val="Heading1"/>
        <w:jc w:val="left"/>
      </w:pPr>
      <w:r>
        <w:rPr>
          <w:color w:val="1F497D"/>
        </w:rPr>
        <w:t>4. End-to-End Flow — Step by Step</w:t>
      </w:r>
    </w:p>
    <w:tbl>
      <w:tblPr>
        <w:tblStyle w:val="TableGrid"/>
        <w:tblW w:type="auto" w:w="0"/>
        <w:tblLook w:firstColumn="1" w:firstRow="1" w:lastColumn="0" w:lastRow="0" w:noHBand="0" w:noVBand="1" w:val="04A0"/>
      </w:tblPr>
      <w:tblGrid>
        <w:gridCol w:w="4873"/>
        <w:gridCol w:w="4873"/>
      </w:tblGrid>
      <w:tr>
        <w:tc>
          <w:tcPr>
            <w:tcW w:type="dxa" w:w="4032"/>
            <w:shd w:val="clear" w:color="auto" w:fill="1F497D"/>
          </w:tcPr>
          <w:p>
            <w:r>
              <w:rPr>
                <w:b/>
                <w:color w:val="FFFFFF"/>
                <w:sz w:val="19"/>
              </w:rPr>
              <w:t>Phase 1 (Spring Boot Foundation) + Phase 7 (Streamlit UI)</w:t>
            </w:r>
          </w:p>
        </w:tc>
        <w:tc>
          <w:tcPr>
            <w:tcW w:type="dxa" w:w="4873"/>
            <w:shd w:val="clear" w:color="auto" w:fill="2E74B5"/>
          </w:tcPr>
          <w:p>
            <w:r>
              <w:rPr>
                <w:b/>
                <w:color w:val="FFFFFF"/>
                <w:sz w:val="19"/>
              </w:rPr>
              <w:t>STEP 1 — Create Student &amp; Application</w:t>
            </w:r>
          </w:p>
        </w:tc>
      </w:tr>
    </w:tbl>
    <w:p/>
    <w:p>
      <w:pPr>
        <w:spacing w:before="40" w:after="80"/>
      </w:pPr>
      <w:r>
        <w:rPr>
          <w:b w:val="0"/>
          <w:i w:val="0"/>
          <w:sz w:val="20"/>
        </w:rPr>
        <w:t>Admin opens Streamlit, fills in student details and creates an application. The application_id returned is the shared key used across ALL services for this entire flow.</w:t>
      </w:r>
    </w:p>
    <w:tbl>
      <w:tblPr>
        <w:tblStyle w:val="TableGrid"/>
        <w:tblW w:type="auto" w:w="0"/>
        <w:tblLook w:firstColumn="1" w:firstRow="1" w:lastColumn="0" w:lastRow="0" w:noHBand="0" w:noVBand="1" w:val="04A0"/>
      </w:tblPr>
      <w:tblGrid>
        <w:gridCol w:w="9746"/>
      </w:tblGrid>
      <w:tr>
        <w:tc>
          <w:tcPr>
            <w:tcW w:type="dxa" w:w="9746"/>
            <w:shd w:val="clear" w:color="auto" w:fill="F3F3F3"/>
          </w:tcPr>
          <w:p>
            <w:r>
              <w:rPr>
                <w:rFonts w:ascii="Courier New" w:hAnsi="Courier New"/>
                <w:color w:val="1E1E1E"/>
                <w:sz w:val="17"/>
              </w:rPr>
              <w:t># frontend/utils/api.py</w:t>
              <w:br/>
              <w:t>def create_student(payload: dict) -&gt; dict:</w:t>
              <w:br/>
              <w:t xml:space="preserve">    r = requests.post('http://localhost:8080/api/students', json=payload)</w:t>
              <w:br/>
              <w:t xml:space="preserve">    r.raise_for_status()</w:t>
              <w:br/>
              <w:t xml:space="preserve">    return r.json()   # returns { 'id': 'student-uuid', 'name': '...' }</w:t>
              <w:br/>
              <w:br/>
              <w:t>def create_application(student_id: str) -&gt; dict:</w:t>
              <w:br/>
              <w:t xml:space="preserve">    r = requests.post('http://localhost:8080/api/applications',</w:t>
              <w:br/>
              <w:t xml:space="preserve">                      json={'studentId': student_id})</w:t>
              <w:br/>
              <w:t xml:space="preserve">    r.raise_for_status()</w:t>
              <w:br/>
              <w:t xml:space="preserve">    return r.json()   # returns { 'id': 'app-uuid', 'status': 'PENDING' }</w:t>
            </w:r>
          </w:p>
        </w:tc>
      </w:tr>
    </w:tbl>
    <w:p/>
    <w:tbl>
      <w:tblPr>
        <w:tblStyle w:val="TableGrid"/>
        <w:tblW w:type="auto" w:w="0"/>
        <w:tblLook w:firstColumn="1" w:firstRow="1" w:lastColumn="0" w:lastRow="0" w:noHBand="0" w:noVBand="1" w:val="04A0"/>
      </w:tblPr>
      <w:tblGrid>
        <w:gridCol w:w="9746"/>
      </w:tblGrid>
      <w:tr>
        <w:tc>
          <w:tcPr>
            <w:tcW w:type="dxa" w:w="9746"/>
            <w:shd w:val="clear" w:color="auto" w:fill="DEEAF1"/>
          </w:tcPr>
          <w:p>
            <w:r>
              <w:rPr>
                <w:b/>
                <w:color w:val="1F497D"/>
                <w:sz w:val="19"/>
              </w:rPr>
              <w:t xml:space="preserve">Why Spring Boot for the ERP?  </w:t>
            </w:r>
            <w:r>
              <w:rPr>
                <w:sz w:val="19"/>
              </w:rPr>
              <w:t>Java Spring Boot is the industry standard for enterprise backends. It has mature ORM (JPA), validation, and transaction management. The ERP would connect to real university systems in production — Java is the right fit. Python is kept for the AI service where the ML ecosystem lives.</w:t>
            </w:r>
          </w:p>
        </w:tc>
      </w:tr>
    </w:tbl>
    <w:p/>
    <w:tbl>
      <w:tblPr>
        <w:tblStyle w:val="TableGrid"/>
        <w:tblW w:type="auto" w:w="0"/>
        <w:tblLook w:firstColumn="1" w:firstRow="1" w:lastColumn="0" w:lastRow="0" w:noHBand="0" w:noVBand="1" w:val="04A0"/>
      </w:tblPr>
      <w:tblGrid>
        <w:gridCol w:w="4873"/>
        <w:gridCol w:w="4873"/>
      </w:tblGrid>
      <w:tr>
        <w:tc>
          <w:tcPr>
            <w:tcW w:type="dxa" w:w="4032"/>
            <w:shd w:val="clear" w:color="auto" w:fill="1F497D"/>
          </w:tcPr>
          <w:p>
            <w:r>
              <w:rPr>
                <w:b/>
                <w:color w:val="FFFFFF"/>
                <w:sz w:val="19"/>
              </w:rPr>
              <w:t>Phase 2 (FastAPI Foundation) + Phase 7 (Streamlit UI)</w:t>
            </w:r>
          </w:p>
        </w:tc>
        <w:tc>
          <w:tcPr>
            <w:tcW w:type="dxa" w:w="4873"/>
            <w:shd w:val="clear" w:color="auto" w:fill="2E74B5"/>
          </w:tcPr>
          <w:p>
            <w:r>
              <w:rPr>
                <w:b/>
                <w:color w:val="FFFFFF"/>
                <w:sz w:val="19"/>
              </w:rPr>
              <w:t>STEP 2 — Upload Documents</w:t>
            </w:r>
          </w:p>
        </w:tc>
      </w:tr>
    </w:tbl>
    <w:p/>
    <w:p>
      <w:pPr>
        <w:spacing w:before="40" w:after="80"/>
      </w:pPr>
      <w:r>
        <w:rPr>
          <w:b w:val="0"/>
          <w:i w:val="0"/>
          <w:sz w:val="20"/>
        </w:rPr>
        <w:t>Admin uploads 10th marksheet, 12th marksheet, and Aadhar card. Each upload is independent. FastAPI saves the file, creates a DB record, and immediately drops a Kafka message — the API returns instantly without waiting for extraction.</w:t>
      </w:r>
    </w:p>
    <w:tbl>
      <w:tblPr>
        <w:tblStyle w:val="TableGrid"/>
        <w:tblW w:type="auto" w:w="0"/>
        <w:tblLook w:firstColumn="1" w:firstRow="1" w:lastColumn="0" w:lastRow="0" w:noHBand="0" w:noVBand="1" w:val="04A0"/>
      </w:tblPr>
      <w:tblGrid>
        <w:gridCol w:w="9746"/>
      </w:tblGrid>
      <w:tr>
        <w:tc>
          <w:tcPr>
            <w:tcW w:type="dxa" w:w="9746"/>
            <w:shd w:val="clear" w:color="auto" w:fill="F3F3F3"/>
          </w:tcPr>
          <w:p>
            <w:r>
              <w:rPr>
                <w:rFonts w:ascii="Courier New" w:hAnsi="Courier New"/>
                <w:color w:val="1E1E1E"/>
                <w:sz w:val="17"/>
              </w:rPr>
              <w:t># backend-fastapi/app/routers/documents.py</w:t>
              <w:br/>
              <w:t>@router.post('/upload')</w:t>
              <w:br/>
              <w:t>async def upload_document(file: UploadFile, application_id: str = Form(...),</w:t>
              <w:br/>
              <w:t xml:space="preserve">                          doc_type: str = Form(...), db: AsyncSession = Depends(get_db)):</w:t>
              <w:br/>
              <w:t xml:space="preserve">    # 1. Save file to disk</w:t>
              <w:br/>
              <w:t xml:space="preserve">    file_path = f'uploads/{application_id}/{doc_type}{ext}'</w:t>
              <w:br/>
              <w:t xml:space="preserve">    with open(file_path, 'wb') as f:</w:t>
              <w:br/>
              <w:t xml:space="preserve">        f.write(await file.read())</w:t>
              <w:br/>
              <w:br/>
              <w:t xml:space="preserve">    # 2. Create Document row in SQLite (status = PENDING)</w:t>
              <w:br/>
              <w:t xml:space="preserve">    doc = Document(id=str(uuid4()), application_id=application_id,</w:t>
              <w:br/>
              <w:t xml:space="preserve">                   doc_type=doc_type, file_path=file_path,</w:t>
              <w:br/>
              <w:t xml:space="preserve">                   status=DocumentStatus.PENDING)</w:t>
              <w:br/>
              <w:t xml:space="preserve">    db.add(doc); await db.commit()</w:t>
              <w:br/>
              <w:br/>
              <w:t xml:space="preserve">    # 3. Publish Kafka message — extraction happens async</w:t>
              <w:br/>
              <w:t xml:space="preserve">    producer.send('document-extraction', value={</w:t>
              <w:br/>
              <w:t xml:space="preserve">        'document_id': doc.id, 'application_id': application_id,</w:t>
              <w:br/>
              <w:t xml:space="preserve">        'doc_type': doc_type, 'file_path': file_path</w:t>
              <w:br/>
              <w:t xml:space="preserve">    })</w:t>
              <w:br/>
              <w:t xml:space="preserve">    return {'id': doc.id, 'status': 'PENDING'}</w:t>
            </w:r>
          </w:p>
        </w:tc>
      </w:tr>
    </w:tbl>
    <w:p/>
    <w:tbl>
      <w:tblPr>
        <w:tblStyle w:val="TableGrid"/>
        <w:tblW w:type="auto" w:w="0"/>
        <w:tblLook w:firstColumn="1" w:firstRow="1" w:lastColumn="0" w:lastRow="0" w:noHBand="0" w:noVBand="1" w:val="04A0"/>
      </w:tblPr>
      <w:tblGrid>
        <w:gridCol w:w="9746"/>
      </w:tblGrid>
      <w:tr>
        <w:tc>
          <w:tcPr>
            <w:tcW w:type="dxa" w:w="9746"/>
            <w:shd w:val="clear" w:color="auto" w:fill="DEEAF1"/>
          </w:tcPr>
          <w:p>
            <w:r>
              <w:rPr>
                <w:b/>
                <w:color w:val="1F497D"/>
                <w:sz w:val="19"/>
              </w:rPr>
              <w:t xml:space="preserve">Why FastAPI for the AI service?  </w:t>
            </w:r>
            <w:r>
              <w:rPr>
                <w:sz w:val="19"/>
              </w:rPr>
              <w:t>FastAPI is async-native (Starlette + asyncio), has automatic OpenAPI docs, and Pydantic validation built in. It's ideal for a service that makes many async I/O calls (SQLite, OpenAI, Kafka). Python also has the best AI/ML library ecosystem — langchain, openai, pymupdf are all Python-first.</w:t>
            </w:r>
          </w:p>
        </w:tc>
      </w:tr>
    </w:tbl>
    <w:p/>
    <w:tbl>
      <w:tblPr>
        <w:tblStyle w:val="TableGrid"/>
        <w:tblW w:type="auto" w:w="0"/>
        <w:tblLook w:firstColumn="1" w:firstRow="1" w:lastColumn="0" w:lastRow="0" w:noHBand="0" w:noVBand="1" w:val="04A0"/>
      </w:tblPr>
      <w:tblGrid>
        <w:gridCol w:w="4873"/>
        <w:gridCol w:w="4873"/>
      </w:tblGrid>
      <w:tr>
        <w:tc>
          <w:tcPr>
            <w:tcW w:type="dxa" w:w="4032"/>
            <w:shd w:val="clear" w:color="auto" w:fill="1F497D"/>
          </w:tcPr>
          <w:p>
            <w:r>
              <w:rPr>
                <w:b/>
                <w:color w:val="FFFFFF"/>
                <w:sz w:val="19"/>
              </w:rPr>
              <w:t>Phase 3 (Document Extraction Service) + Phase 6 (Verification Workflow)</w:t>
            </w:r>
          </w:p>
        </w:tc>
        <w:tc>
          <w:tcPr>
            <w:tcW w:type="dxa" w:w="4873"/>
            <w:shd w:val="clear" w:color="auto" w:fill="2E74B5"/>
          </w:tcPr>
          <w:p>
            <w:r>
              <w:rPr>
                <w:b/>
                <w:color w:val="FFFFFF"/>
                <w:sz w:val="19"/>
              </w:rPr>
              <w:t>STEP 3 — AI Extraction via Kafka Consumer</w:t>
            </w:r>
          </w:p>
        </w:tc>
      </w:tr>
    </w:tbl>
    <w:p/>
    <w:p>
      <w:pPr>
        <w:spacing w:before="40" w:after="80"/>
      </w:pPr>
      <w:r>
        <w:rPr>
          <w:b w:val="0"/>
          <w:i w:val="0"/>
          <w:sz w:val="20"/>
        </w:rPr>
        <w:t>The Kafka consumer is a separate Python process. It polls for messages, converts PDFs to images, and calls GPT-4o Vision to extract structured data from each document.</w:t>
      </w:r>
    </w:p>
    <w:tbl>
      <w:tblPr>
        <w:tblStyle w:val="TableGrid"/>
        <w:tblW w:type="auto" w:w="0"/>
        <w:tblLook w:firstColumn="1" w:firstRow="1" w:lastColumn="0" w:lastRow="0" w:noHBand="0" w:noVBand="1" w:val="04A0"/>
      </w:tblPr>
      <w:tblGrid>
        <w:gridCol w:w="9746"/>
      </w:tblGrid>
      <w:tr>
        <w:tc>
          <w:tcPr>
            <w:tcW w:type="dxa" w:w="9746"/>
            <w:shd w:val="clear" w:color="auto" w:fill="F3F3F3"/>
          </w:tcPr>
          <w:p>
            <w:r>
              <w:rPr>
                <w:rFonts w:ascii="Courier New" w:hAnsi="Courier New"/>
                <w:color w:val="1E1E1E"/>
                <w:sz w:val="17"/>
              </w:rPr>
              <w:t># backend-fastapi/app/services/kafka_consumer.py</w:t>
              <w:br/>
              <w:t>async def process_message(message: dict):</w:t>
              <w:br/>
              <w:t xml:space="preserve">    doc.status = DocumentStatus.EXTRACTING</w:t>
              <w:br/>
              <w:t xml:space="preserve">    await db.commit()</w:t>
              <w:br/>
              <w:br/>
              <w:t xml:space="preserve">    extracted_data, confidence = extract_document(file_path, doc_type)</w:t>
              <w:br/>
              <w:t xml:space="preserve">    # → saves ExtractionResult, sets status = EXTRACTED</w:t>
              <w:br/>
              <w:br/>
              <w:t># Offset committed ONLY after success — at-least-once delivery</w:t>
              <w:br/>
              <w:t>asyncio.run(process_message(msg.value))</w:t>
              <w:br/>
              <w:t>consumer.commit()</w:t>
            </w:r>
          </w:p>
        </w:tc>
      </w:tr>
    </w:tbl>
    <w:p/>
    <w:tbl>
      <w:tblPr>
        <w:tblStyle w:val="TableGrid"/>
        <w:tblW w:type="auto" w:w="0"/>
        <w:tblLook w:firstColumn="1" w:firstRow="1" w:lastColumn="0" w:lastRow="0" w:noHBand="0" w:noVBand="1" w:val="04A0"/>
      </w:tblPr>
      <w:tblGrid>
        <w:gridCol w:w="9746"/>
      </w:tblGrid>
      <w:tr>
        <w:tc>
          <w:tcPr>
            <w:tcW w:type="dxa" w:w="9746"/>
            <w:shd w:val="clear" w:color="auto" w:fill="F3F3F3"/>
          </w:tcPr>
          <w:p>
            <w:r>
              <w:rPr>
                <w:rFonts w:ascii="Courier New" w:hAnsi="Courier New"/>
                <w:color w:val="1E1E1E"/>
                <w:sz w:val="17"/>
              </w:rPr>
              <w:t># backend-fastapi/app/services/extractor.py</w:t>
              <w:br/>
              <w:t>def _pdf_first_page_to_base64(file_path):</w:t>
              <w:br/>
              <w:t xml:space="preserve">    import fitz  # PyMuPDF — no system dependencies</w:t>
              <w:br/>
              <w:t xml:space="preserve">    doc = fitz.open(file_path)</w:t>
              <w:br/>
              <w:t xml:space="preserve">    page = doc[0]</w:t>
              <w:br/>
              <w:t xml:space="preserve">    mat = fitz.Matrix(3, 3)   # 3x zoom = 216 DPI — sharper digits</w:t>
              <w:br/>
              <w:t xml:space="preserve">    pix = page.get_pixmap(matrix=mat)</w:t>
              <w:br/>
              <w:t xml:space="preserve">    png_bytes = pix.tobytes('png')</w:t>
              <w:br/>
              <w:t xml:space="preserve">    return base64.b64encode(png_bytes).decode('utf-8'), 'image/png'</w:t>
              <w:br/>
              <w:br/>
              <w:t>def _call_vision(system_prompt, user_prompt, image_b64, media_type):</w:t>
              <w:br/>
              <w:t xml:space="preserve">    response = client.chat.completions.create(</w:t>
              <w:br/>
              <w:t xml:space="preserve">        model='gpt-4o',</w:t>
              <w:br/>
              <w:t xml:space="preserve">        messages=[</w:t>
              <w:br/>
              <w:t xml:space="preserve">            {'role': 'system', 'content': system_prompt},</w:t>
              <w:br/>
              <w:t xml:space="preserve">            {'role': 'user', 'content': [</w:t>
              <w:br/>
              <w:t xml:space="preserve">                {'type': 'text', 'text': user_prompt},</w:t>
              <w:br/>
              <w:t xml:space="preserve">                {'type': 'image_url',</w:t>
              <w:br/>
              <w:t xml:space="preserve">                 'image_url': {'url': f'data:{media_type};base64,{image_b64}',</w:t>
              <w:br/>
              <w:t xml:space="preserve">                               'detail': 'high'}}</w:t>
              <w:br/>
              <w:t xml:space="preserve">            ]}</w:t>
              <w:br/>
              <w:t xml:space="preserve">        ],</w:t>
              <w:br/>
              <w:t xml:space="preserve">        response_format={'type': 'json_object'},</w:t>
              <w:br/>
              <w:t xml:space="preserve">        temperature=0, max_tokens=2500</w:t>
              <w:br/>
              <w:t xml:space="preserve">    )</w:t>
              <w:br/>
              <w:t xml:space="preserve">    return json.loads(response.choices[0].message.content)</w:t>
            </w:r>
          </w:p>
        </w:tc>
      </w:tr>
    </w:tbl>
    <w:p/>
    <w:tbl>
      <w:tblPr>
        <w:tblStyle w:val="TableGrid"/>
        <w:tblW w:type="auto" w:w="0"/>
        <w:tblLook w:firstColumn="1" w:firstRow="1" w:lastColumn="0" w:lastRow="0" w:noHBand="0" w:noVBand="1" w:val="04A0"/>
      </w:tblPr>
      <w:tblGrid>
        <w:gridCol w:w="9746"/>
      </w:tblGrid>
      <w:tr>
        <w:tc>
          <w:tcPr>
            <w:tcW w:type="dxa" w:w="9746"/>
            <w:shd w:val="clear" w:color="auto" w:fill="FFF2CC"/>
          </w:tcPr>
          <w:p>
            <w:r>
              <w:rPr>
                <w:b/>
                <w:color w:val="7F6000"/>
                <w:sz w:val="19"/>
              </w:rPr>
              <w:t xml:space="preserve">Why Kafka for async processing?  </w:t>
            </w:r>
            <w:r>
              <w:rPr>
                <w:sz w:val="19"/>
              </w:rPr>
              <w:t>GPT-4o extraction takes 3–5 seconds per document. With 3 documents, synchronous processing would block the upload API for 15+ seconds. Kafka decouples upload (instant response) from extraction (background). It also gives at-least-once delivery — offset is committed only after successful processing. If the consumer crashes mid-extraction, the message is reprocessed on restart. No documents are ever lost.</w:t>
            </w:r>
          </w:p>
        </w:tc>
      </w:tr>
    </w:tbl>
    <w:p/>
    <w:tbl>
      <w:tblPr>
        <w:tblStyle w:val="TableGrid"/>
        <w:tblW w:type="auto" w:w="0"/>
        <w:tblLook w:firstColumn="1" w:firstRow="1" w:lastColumn="0" w:lastRow="0" w:noHBand="0" w:noVBand="1" w:val="04A0"/>
      </w:tblPr>
      <w:tblGrid>
        <w:gridCol w:w="9746"/>
      </w:tblGrid>
      <w:tr>
        <w:tc>
          <w:tcPr>
            <w:tcW w:type="dxa" w:w="9746"/>
            <w:shd w:val="clear" w:color="auto" w:fill="FFF2CC"/>
          </w:tcPr>
          <w:p>
            <w:r>
              <w:rPr>
                <w:b/>
                <w:color w:val="7F6000"/>
                <w:sz w:val="19"/>
              </w:rPr>
              <w:t xml:space="preserve">Why PyMuPDF over pdf2image / poppler?  </w:t>
            </w:r>
            <w:r>
              <w:rPr>
                <w:sz w:val="19"/>
              </w:rPr>
              <w:t>pdf2image requires poppler — a system C library (brew install poppler / apt install). This breaks in Docker and CI without extra setup steps. PyMuPDF is a pure Python wheel with bundled C extensions — zero system dependencies. We also render at 3× zoom (216 DPI) instead of 2× (144 DPI) because higher resolution lets GPT-4o distinguish similar digits like '01' vs '03' in month fields.</w:t>
            </w:r>
          </w:p>
        </w:tc>
      </w:tr>
    </w:tbl>
    <w:p/>
    <w:tbl>
      <w:tblPr>
        <w:tblStyle w:val="TableGrid"/>
        <w:tblW w:type="auto" w:w="0"/>
        <w:tblLook w:firstColumn="1" w:firstRow="1" w:lastColumn="0" w:lastRow="0" w:noHBand="0" w:noVBand="1" w:val="04A0"/>
      </w:tblPr>
      <w:tblGrid>
        <w:gridCol w:w="9746"/>
      </w:tblGrid>
      <w:tr>
        <w:tc>
          <w:tcPr>
            <w:tcW w:type="dxa" w:w="9746"/>
            <w:shd w:val="clear" w:color="auto" w:fill="FFF2CC"/>
          </w:tcPr>
          <w:p>
            <w:r>
              <w:rPr>
                <w:b/>
                <w:color w:val="7F6000"/>
                <w:sz w:val="19"/>
              </w:rPr>
              <w:t xml:space="preserve">Why GPT-4o Vision over Tesseract or a custom OCR model?  </w:t>
            </w:r>
            <w:r>
              <w:rPr>
                <w:sz w:val="19"/>
              </w:rPr>
              <w:t>Indian marksheets have wildly inconsistent layouts across CBSE, ICSE, and 20+ state boards. Training a custom model would need hundreds of labelled samples. GPT-4o Vision understands document structure without training. It returns structured JSON with per-field confidence scores in a single API call. Tesseract returns raw text — you'd still need to parse and map it to fields, and it struggles with mixed-font Indian marksheets.</w:t>
            </w:r>
          </w:p>
        </w:tc>
      </w:tr>
    </w:tbl>
    <w:p/>
    <w:tbl>
      <w:tblPr>
        <w:tblStyle w:val="TableGrid"/>
        <w:tblW w:type="auto" w:w="0"/>
        <w:tblLook w:firstColumn="1" w:firstRow="1" w:lastColumn="0" w:lastRow="0" w:noHBand="0" w:noVBand="1" w:val="04A0"/>
      </w:tblPr>
      <w:tblGrid>
        <w:gridCol w:w="4873"/>
        <w:gridCol w:w="4873"/>
      </w:tblGrid>
      <w:tr>
        <w:tc>
          <w:tcPr>
            <w:tcW w:type="dxa" w:w="4032"/>
            <w:shd w:val="clear" w:color="auto" w:fill="1F497D"/>
          </w:tcPr>
          <w:p>
            <w:r>
              <w:rPr>
                <w:b/>
                <w:color w:val="FFFFFF"/>
                <w:sz w:val="19"/>
              </w:rPr>
              <w:t>Phase 6 (Verification Workflow + Integration)</w:t>
            </w:r>
          </w:p>
        </w:tc>
        <w:tc>
          <w:tcPr>
            <w:tcW w:type="dxa" w:w="4873"/>
            <w:shd w:val="clear" w:color="auto" w:fill="2E74B5"/>
          </w:tcPr>
          <w:p>
            <w:r>
              <w:rPr>
                <w:b/>
                <w:color w:val="FFFFFF"/>
                <w:sz w:val="19"/>
              </w:rPr>
              <w:t>STEP 4 — Trigger Verification</w:t>
            </w:r>
          </w:p>
        </w:tc>
      </w:tr>
    </w:tbl>
    <w:p/>
    <w:p>
      <w:pPr>
        <w:spacing w:before="40" w:after="80"/>
      </w:pPr>
      <w:r>
        <w:rPr>
          <w:b w:val="0"/>
          <w:i w:val="0"/>
          <w:sz w:val="20"/>
        </w:rPr>
        <w:t>After all documents are EXTRACTED, admin clicks Trigger Verification. This flows through Spring Boot first — it must set status to UNDER_REVIEW before delegating to FastAPI.</w:t>
      </w:r>
    </w:p>
    <w:tbl>
      <w:tblPr>
        <w:tblStyle w:val="TableGrid"/>
        <w:tblW w:type="auto" w:w="0"/>
        <w:tblLook w:firstColumn="1" w:firstRow="1" w:lastColumn="0" w:lastRow="0" w:noHBand="0" w:noVBand="1" w:val="04A0"/>
      </w:tblPr>
      <w:tblGrid>
        <w:gridCol w:w="9746"/>
      </w:tblGrid>
      <w:tr>
        <w:tc>
          <w:tcPr>
            <w:tcW w:type="dxa" w:w="9746"/>
            <w:shd w:val="clear" w:color="auto" w:fill="F3F3F3"/>
          </w:tcPr>
          <w:p>
            <w:r>
              <w:rPr>
                <w:rFonts w:ascii="Courier New" w:hAnsi="Courier New"/>
                <w:color w:val="1E1E1E"/>
                <w:sz w:val="17"/>
              </w:rPr>
              <w:t>// backend-springboot — VerificationService.java</w:t>
              <w:br/>
              <w:t>public void triggerVerification(String applicationId) {</w:t>
              <w:br/>
              <w:t xml:space="preserve">    Application app = applicationRepository.findById(applicationId).orElseThrow();</w:t>
              <w:br/>
              <w:t xml:space="preserve">    app.setStatus(ApplicationStatus.UNDER_REVIEW);  // ERP owns lifecycle</w:t>
              <w:br/>
              <w:t xml:space="preserve">    applicationRepository.save(app);</w:t>
              <w:br/>
              <w:br/>
              <w:t xml:space="preserve">    boolean accepted = aiServiceClient.triggerVerification(applicationId);</w:t>
              <w:br/>
              <w:t xml:space="preserve">    // Non-blocking WebClient call to FastAPI POST /verify/{applicationId}</w:t>
              <w:br/>
              <w:t>}</w:t>
            </w:r>
          </w:p>
        </w:tc>
      </w:tr>
    </w:tbl>
    <w:p/>
    <w:tbl>
      <w:tblPr>
        <w:tblStyle w:val="TableGrid"/>
        <w:tblW w:type="auto" w:w="0"/>
        <w:tblLook w:firstColumn="1" w:firstRow="1" w:lastColumn="0" w:lastRow="0" w:noHBand="0" w:noVBand="1" w:val="04A0"/>
      </w:tblPr>
      <w:tblGrid>
        <w:gridCol w:w="9746"/>
      </w:tblGrid>
      <w:tr>
        <w:tc>
          <w:tcPr>
            <w:tcW w:type="dxa" w:w="9746"/>
            <w:shd w:val="clear" w:color="auto" w:fill="DEEAF1"/>
          </w:tcPr>
          <w:p>
            <w:r>
              <w:rPr>
                <w:b/>
                <w:color w:val="1F497D"/>
                <w:sz w:val="19"/>
              </w:rPr>
              <w:t xml:space="preserve">Why does the trigger go through Spring Boot first?  </w:t>
            </w:r>
            <w:r>
              <w:rPr>
                <w:sz w:val="19"/>
              </w:rPr>
              <w:t>Spring Boot is the ERP — it owns the application lifecycle. The status must be set to UNDER_REVIEW in the ERP before we delegate to the AI service. This way, if FastAPI is temporarily down, the ERP still reflects the correct state. It also means we can swap out the AI service without changing the ERP's understanding of application statuses.</w:t>
            </w:r>
          </w:p>
        </w:tc>
      </w:tr>
    </w:tbl>
    <w:p/>
    <w:tbl>
      <w:tblPr>
        <w:tblStyle w:val="TableGrid"/>
        <w:tblW w:type="auto" w:w="0"/>
        <w:tblLook w:firstColumn="1" w:firstRow="1" w:lastColumn="0" w:lastRow="0" w:noHBand="0" w:noVBand="1" w:val="04A0"/>
      </w:tblPr>
      <w:tblGrid>
        <w:gridCol w:w="4873"/>
        <w:gridCol w:w="4873"/>
      </w:tblGrid>
      <w:tr>
        <w:tc>
          <w:tcPr>
            <w:tcW w:type="dxa" w:w="4032"/>
            <w:shd w:val="clear" w:color="auto" w:fill="1F497D"/>
          </w:tcPr>
          <w:p>
            <w:r>
              <w:rPr>
                <w:b/>
                <w:color w:val="FFFFFF"/>
                <w:sz w:val="19"/>
              </w:rPr>
              <w:t>Phase 4 (Validation Engine) + Phase 5 (RAG Knowledge Base)</w:t>
            </w:r>
          </w:p>
        </w:tc>
        <w:tc>
          <w:tcPr>
            <w:tcW w:type="dxa" w:w="4873"/>
            <w:shd w:val="clear" w:color="auto" w:fill="2E74B5"/>
          </w:tcPr>
          <w:p>
            <w:r>
              <w:rPr>
                <w:b/>
                <w:color w:val="FFFFFF"/>
                <w:sz w:val="19"/>
              </w:rPr>
              <w:t>STEP 5 — Run Validation + RAG Eligibility Check</w:t>
            </w:r>
          </w:p>
        </w:tc>
      </w:tr>
    </w:tbl>
    <w:p/>
    <w:p>
      <w:pPr>
        <w:spacing w:before="40" w:after="80"/>
      </w:pPr>
      <w:r>
        <w:rPr>
          <w:b w:val="0"/>
          <w:i w:val="0"/>
          <w:sz w:val="20"/>
        </w:rPr>
        <w:t>A FastAPI background task reads all ExtractionResults and runs 22+ checks across four categories, then runs a RAG eligibility check against the knowledge base.</w:t>
      </w:r>
    </w:p>
    <w:tbl>
      <w:tblPr>
        <w:tblStyle w:val="TableGrid"/>
        <w:tblW w:type="auto" w:w="0"/>
        <w:tblLook w:firstColumn="1" w:firstRow="1" w:lastColumn="0" w:lastRow="0" w:noHBand="0" w:noVBand="1" w:val="04A0"/>
      </w:tblPr>
      <w:tblGrid>
        <w:gridCol w:w="9746"/>
      </w:tblGrid>
      <w:tr>
        <w:tc>
          <w:tcPr>
            <w:tcW w:type="dxa" w:w="9746"/>
            <w:shd w:val="clear" w:color="auto" w:fill="F3F3F3"/>
          </w:tcPr>
          <w:p>
            <w:r>
              <w:rPr>
                <w:rFonts w:ascii="Courier New" w:hAnsi="Courier New"/>
                <w:color w:val="1E1E1E"/>
                <w:sz w:val="17"/>
              </w:rPr>
              <w:t># backend-fastapi/app/services/validator.py (key checks)</w:t>
              <w:br/>
              <w:br/>
              <w:t># A. Required field check — for each doc type</w:t>
              <w:br/>
              <w:t>def validate_required_fields(extractions, doc_confidences):</w:t>
              <w:br/>
              <w:t xml:space="preserve">    for doc_type, required_fields in REQUIRED_FIELDS.items():</w:t>
              <w:br/>
              <w:t xml:space="preserve">        for field in required_fields:</w:t>
              <w:br/>
              <w:t xml:space="preserve">            value = _val(data.get(field, {}))</w:t>
              <w:br/>
              <w:t xml:space="preserve">            status = 'PASS' if value else 'FAIL'</w:t>
              <w:br/>
              <w:br/>
              <w:t># B. Fuzzy name match across all document pairs</w:t>
              <w:br/>
              <w:t>def validate_name_match(extractions):</w:t>
              <w:br/>
              <w:t xml:space="preserve">    score = fuzz.token_sort_ratio(name_a, name_b)  # thefuzz library</w:t>
              <w:br/>
              <w:t xml:space="preserve">    status = 'PASS' if score &gt;= 85 else ('WARNING' if score &gt;= 70 else 'FAIL')</w:t>
              <w:br/>
              <w:br/>
              <w:t># C. DOB cross-check — normalise to DD/MM/YYYY then exact match</w:t>
              <w:br/>
              <w:t>def validate_dob_match(extractions):</w:t>
              <w:br/>
              <w:t xml:space="preserve">    unique_dobs = set(dobs.values())</w:t>
              <w:br/>
              <w:t xml:space="preserve">    all_match = len(unique_dobs) == 1  # exact match required</w:t>
              <w:br/>
              <w:br/>
              <w:t># D. Percentage eligibility</w:t>
              <w:br/>
              <w:t># 10th &gt;= 35%, 12th &gt;= 45%</w:t>
            </w:r>
          </w:p>
        </w:tc>
      </w:tr>
    </w:tbl>
    <w:p/>
    <w:tbl>
      <w:tblPr>
        <w:tblStyle w:val="TableGrid"/>
        <w:tblW w:type="auto" w:w="0"/>
        <w:tblLook w:firstColumn="1" w:firstRow="1" w:lastColumn="0" w:lastRow="0" w:noHBand="0" w:noVBand="1" w:val="04A0"/>
      </w:tblPr>
      <w:tblGrid>
        <w:gridCol w:w="9746"/>
      </w:tblGrid>
      <w:tr>
        <w:tc>
          <w:tcPr>
            <w:tcW w:type="dxa" w:w="9746"/>
            <w:shd w:val="clear" w:color="auto" w:fill="F3F3F3"/>
          </w:tcPr>
          <w:p>
            <w:r>
              <w:rPr>
                <w:rFonts w:ascii="Courier New" w:hAnsi="Courier New"/>
                <w:color w:val="1E1E1E"/>
                <w:sz w:val="17"/>
              </w:rPr>
              <w:t># backend-fastapi/app/services/rag.py</w:t>
              <w:br/>
              <w:t>def check_eligibility(course, pct_10th, pct_12th, stream, result_12th):</w:t>
              <w:br/>
              <w:t xml:space="preserve">    query = f'Student: stream={stream}, 10th={pct_10th}%, 12th={pct_12th}%, result={result_12th}'</w:t>
              <w:br/>
              <w:br/>
              <w:t xml:space="preserve">    # 1. Embed query using text-embedding-3-small</w:t>
              <w:br/>
              <w:t xml:space="preserve">    # 2. Qdrant similarity search → top-k relevant eligibility rules</w:t>
              <w:br/>
              <w:t xml:space="preserve">    docs = vectorstore.similarity_search(query, k=5)</w:t>
              <w:br/>
              <w:br/>
              <w:t xml:space="preserve">    # 3. GPT-4 reasons over retrieved rules</w:t>
              <w:br/>
              <w:t xml:space="preserve">    response = llm.invoke(prompt_with_rules_and_profile)</w:t>
              <w:br/>
              <w:t xml:space="preserve">    return { 'eligible': True/False, 'reason': '...', 'confidence': 0.0-1.0 }</w:t>
            </w:r>
          </w:p>
        </w:tc>
      </w:tr>
    </w:tbl>
    <w:p/>
    <w:tbl>
      <w:tblPr>
        <w:tblStyle w:val="TableGrid"/>
        <w:tblW w:type="auto" w:w="0"/>
        <w:tblLook w:firstColumn="1" w:firstRow="1" w:lastColumn="0" w:lastRow="0" w:noHBand="0" w:noVBand="1" w:val="04A0"/>
      </w:tblPr>
      <w:tblGrid>
        <w:gridCol w:w="9746"/>
      </w:tblGrid>
      <w:tr>
        <w:tc>
          <w:tcPr>
            <w:tcW w:type="dxa" w:w="9746"/>
            <w:shd w:val="clear" w:color="auto" w:fill="FFF2CC"/>
          </w:tcPr>
          <w:p>
            <w:r>
              <w:rPr>
                <w:b/>
                <w:color w:val="7F6000"/>
                <w:sz w:val="19"/>
              </w:rPr>
              <w:t xml:space="preserve">Why RAG instead of hardcoded eligibility rules?  </w:t>
            </w:r>
            <w:r>
              <w:rPr>
                <w:sz w:val="19"/>
              </w:rPr>
              <w:t>Eligibility rules change by course, stream, and year. Hardcoding means a code deploy every time rules change. With RAG, a non-technical admin updates a text file and re-ingests it — no code change needed. The LLM also handles nuanced cases like borderline percentages or stream-specific exceptions that rigid if/else cannot. RAG also provides explainability: the model reasons over retrieved rules and must give a reason for its decision.</w:t>
            </w:r>
          </w:p>
        </w:tc>
      </w:tr>
    </w:tbl>
    <w:p/>
    <w:tbl>
      <w:tblPr>
        <w:tblStyle w:val="TableGrid"/>
        <w:tblW w:type="auto" w:w="0"/>
        <w:tblLook w:firstColumn="1" w:firstRow="1" w:lastColumn="0" w:lastRow="0" w:noHBand="0" w:noVBand="1" w:val="04A0"/>
      </w:tblPr>
      <w:tblGrid>
        <w:gridCol w:w="4873"/>
        <w:gridCol w:w="4873"/>
      </w:tblGrid>
      <w:tr>
        <w:tc>
          <w:tcPr>
            <w:tcW w:type="dxa" w:w="4032"/>
            <w:shd w:val="clear" w:color="auto" w:fill="1F497D"/>
          </w:tcPr>
          <w:p>
            <w:r>
              <w:rPr>
                <w:b/>
                <w:color w:val="FFFFFF"/>
                <w:sz w:val="19"/>
              </w:rPr>
              <w:t>Phase 6 (Verification Workflow + Integration)</w:t>
            </w:r>
          </w:p>
        </w:tc>
        <w:tc>
          <w:tcPr>
            <w:tcW w:type="dxa" w:w="4873"/>
            <w:shd w:val="clear" w:color="auto" w:fill="2E74B5"/>
          </w:tcPr>
          <w:p>
            <w:r>
              <w:rPr>
                <w:b/>
                <w:color w:val="FFFFFF"/>
                <w:sz w:val="19"/>
              </w:rPr>
              <w:t>STEP 6 — Save Result &amp; Notify Spring Boot</w:t>
            </w:r>
          </w:p>
        </w:tc>
      </w:tr>
    </w:tbl>
    <w:p/>
    <w:p>
      <w:pPr>
        <w:spacing w:before="40" w:after="80"/>
      </w:pPr>
      <w:r>
        <w:rPr>
          <w:b w:val="0"/>
          <w:i w:val="0"/>
          <w:sz w:val="20"/>
        </w:rPr>
        <w:t>After all checks complete, the ValidationResult is saved to SQLite and FastAPI calls back to Spring Boot with the final decision.</w:t>
      </w:r>
    </w:p>
    <w:tbl>
      <w:tblPr>
        <w:tblStyle w:val="TableGrid"/>
        <w:tblW w:type="auto" w:w="0"/>
        <w:tblLook w:firstColumn="1" w:firstRow="1" w:lastColumn="0" w:lastRow="0" w:noHBand="0" w:noVBand="1" w:val="04A0"/>
      </w:tblPr>
      <w:tblGrid>
        <w:gridCol w:w="9746"/>
      </w:tblGrid>
      <w:tr>
        <w:tc>
          <w:tcPr>
            <w:tcW w:type="dxa" w:w="9746"/>
            <w:shd w:val="clear" w:color="auto" w:fill="F3F3F3"/>
          </w:tcPr>
          <w:p>
            <w:r>
              <w:rPr>
                <w:rFonts w:ascii="Courier New" w:hAnsi="Courier New"/>
                <w:color w:val="1E1E1E"/>
                <w:sz w:val="17"/>
              </w:rPr>
              <w:t># backend-fastapi/app/routers/verify.py</w:t>
              <w:br/>
              <w:t>async def _notify_erp(application_id, validation_output):</w:t>
              <w:br/>
              <w:t xml:space="preserve">    url = f'{settings.erp_base_url}/api/applications/{application_id}/verification-result'</w:t>
              <w:br/>
              <w:t xml:space="preserve">    payload = {</w:t>
              <w:br/>
              <w:t xml:space="preserve">        'decision':        validation_output['decision'],      # APPROVED / REJECTED</w:t>
              <w:br/>
              <w:t xml:space="preserve">        'overall_score':   validation_output['overall_score'], # e.g. 0.91</w:t>
              <w:br/>
              <w:t xml:space="preserve">        'decision_reason': validation_output['decision_reason']</w:t>
              <w:br/>
              <w:t xml:space="preserve">    }</w:t>
              <w:br/>
              <w:t xml:space="preserve">    async with httpx.AsyncClient(timeout=10.0) as client:</w:t>
              <w:br/>
              <w:t xml:space="preserve">        response = await client.post(url, json=payload)</w:t>
              <w:br/>
              <w:t xml:space="preserve">    # best-effort — failure is logged, not raised</w:t>
            </w:r>
          </w:p>
        </w:tc>
      </w:tr>
    </w:tbl>
    <w:p/>
    <w:tbl>
      <w:tblPr>
        <w:tblStyle w:val="TableGrid"/>
        <w:tblW w:type="auto" w:w="0"/>
        <w:tblLook w:firstColumn="1" w:firstRow="1" w:lastColumn="0" w:lastRow="0" w:noHBand="0" w:noVBand="1" w:val="04A0"/>
      </w:tblPr>
      <w:tblGrid>
        <w:gridCol w:w="9746"/>
      </w:tblGrid>
      <w:tr>
        <w:tc>
          <w:tcPr>
            <w:tcW w:type="dxa" w:w="9746"/>
            <w:shd w:val="clear" w:color="auto" w:fill="F3F3F3"/>
          </w:tcPr>
          <w:p>
            <w:r>
              <w:rPr>
                <w:rFonts w:ascii="Courier New" w:hAnsi="Courier New"/>
                <w:color w:val="1E1E1E"/>
                <w:sz w:val="17"/>
              </w:rPr>
              <w:t>// backend-springboot — VerificationService.java</w:t>
              <w:br/>
              <w:t>public void applyVerificationResult(String applicationId, VerificationCallbackRequest cb) {</w:t>
              <w:br/>
              <w:t xml:space="preserve">    app.setVerificationDecision(mapDecision(cb.getDecision()));</w:t>
              <w:br/>
              <w:t xml:space="preserve">    app.setVerificationScore(cb.getOverallScore());</w:t>
              <w:br/>
              <w:t xml:space="preserve">    app.setStatus(switch (decision) {</w:t>
              <w:br/>
              <w:t xml:space="preserve">        case APPROVED      -&gt; ApplicationStatus.COMPLETED;</w:t>
              <w:br/>
              <w:t xml:space="preserve">        case REJECTED      -&gt; ApplicationStatus.REJECTED;</w:t>
              <w:br/>
              <w:t xml:space="preserve">        case MANUAL_REVIEW -&gt; ApplicationStatus.UNDER_REVIEW;</w:t>
              <w:br/>
              <w:t xml:space="preserve">    });</w:t>
              <w:br/>
              <w:t xml:space="preserve">    applicationRepository.save(app);</w:t>
              <w:br/>
              <w:t>}</w:t>
            </w:r>
          </w:p>
        </w:tc>
      </w:tr>
    </w:tbl>
    <w:p/>
    <w:tbl>
      <w:tblPr>
        <w:tblStyle w:val="TableGrid"/>
        <w:tblW w:type="auto" w:w="0"/>
        <w:tblLook w:firstColumn="1" w:firstRow="1" w:lastColumn="0" w:lastRow="0" w:noHBand="0" w:noVBand="1" w:val="04A0"/>
      </w:tblPr>
      <w:tblGrid>
        <w:gridCol w:w="9746"/>
      </w:tblGrid>
      <w:tr>
        <w:tc>
          <w:tcPr>
            <w:tcW w:type="dxa" w:w="9746"/>
            <w:shd w:val="clear" w:color="auto" w:fill="DEEAF1"/>
          </w:tcPr>
          <w:p>
            <w:r>
              <w:rPr>
                <w:b/>
                <w:color w:val="1F497D"/>
                <w:sz w:val="19"/>
              </w:rPr>
              <w:t xml:space="preserve">Why a push callback instead of Spring Boot polling?  </w:t>
            </w:r>
            <w:r>
              <w:rPr>
                <w:sz w:val="19"/>
              </w:rPr>
              <w:t>Polling would mean Spring Boot repeatedly asks FastAPI 'is it done yet?' — wasted requests. A push callback means Spring Boot is contacted exactly once, when the result is ready. The callback is best-effort (try/except) because the result is already saved in SQLite. If Spring Boot is down, the result is not lost — it can be re-triggered manually.</w:t>
            </w:r>
          </w:p>
        </w:tc>
      </w:tr>
    </w:tbl>
    <w:p/>
    <w:tbl>
      <w:tblPr>
        <w:tblStyle w:val="TableGrid"/>
        <w:tblW w:type="auto" w:w="0"/>
        <w:tblLook w:firstColumn="1" w:firstRow="1" w:lastColumn="0" w:lastRow="0" w:noHBand="0" w:noVBand="1" w:val="04A0"/>
      </w:tblPr>
      <w:tblGrid>
        <w:gridCol w:w="4873"/>
        <w:gridCol w:w="4873"/>
      </w:tblGrid>
      <w:tr>
        <w:tc>
          <w:tcPr>
            <w:tcW w:type="dxa" w:w="4032"/>
            <w:shd w:val="clear" w:color="auto" w:fill="1F497D"/>
          </w:tcPr>
          <w:p>
            <w:r>
              <w:rPr>
                <w:b/>
                <w:color w:val="FFFFFF"/>
                <w:sz w:val="19"/>
              </w:rPr>
              <w:t>Phase 7 (Streamlit UI)</w:t>
            </w:r>
          </w:p>
        </w:tc>
        <w:tc>
          <w:tcPr>
            <w:tcW w:type="dxa" w:w="4873"/>
            <w:shd w:val="clear" w:color="auto" w:fill="2E74B5"/>
          </w:tcPr>
          <w:p>
            <w:r>
              <w:rPr>
                <w:b/>
                <w:color w:val="FFFFFF"/>
                <w:sz w:val="19"/>
              </w:rPr>
              <w:t>STEP 7 — Monitor Progress &amp; View Report</w:t>
            </w:r>
          </w:p>
        </w:tc>
      </w:tr>
    </w:tbl>
    <w:p/>
    <w:p>
      <w:pPr>
        <w:spacing w:before="40" w:after="80"/>
      </w:pPr>
      <w:r>
        <w:rPr>
          <w:b w:val="0"/>
          <w:i w:val="0"/>
          <w:sz w:val="20"/>
        </w:rPr>
        <w:t>Streamlit polls the pipeline-status endpoint every few seconds to show live progress. Once COMPLETE, admin views the full verification report.</w:t>
      </w:r>
    </w:p>
    <w:tbl>
      <w:tblPr>
        <w:tblStyle w:val="TableGrid"/>
        <w:tblW w:type="auto" w:w="0"/>
        <w:tblLook w:firstColumn="1" w:firstRow="1" w:lastColumn="0" w:lastRow="0" w:noHBand="0" w:noVBand="1" w:val="04A0"/>
      </w:tblPr>
      <w:tblGrid>
        <w:gridCol w:w="9746"/>
      </w:tblGrid>
      <w:tr>
        <w:tc>
          <w:tcPr>
            <w:tcW w:type="dxa" w:w="9746"/>
            <w:shd w:val="clear" w:color="auto" w:fill="F3F3F3"/>
          </w:tcPr>
          <w:p>
            <w:r>
              <w:rPr>
                <w:rFonts w:ascii="Courier New" w:hAnsi="Courier New"/>
                <w:color w:val="1E1E1E"/>
                <w:sz w:val="17"/>
              </w:rPr>
              <w:t># backend-fastapi/app/routers/applications.py</w:t>
              <w:br/>
              <w:t># Pipeline stage is DERIVED from DB state — no extra status field needed</w:t>
              <w:br/>
              <w:t>if DocumentStatus.FAILED in statuses:        pipeline_stage = 'FAILED'</w:t>
              <w:br/>
              <w:t>elif any(d.status == EXTRACTING ...):        pipeline_stage = 'EXTRACTING'</w:t>
              <w:br/>
              <w:t>elif any(d.status == PENDING ...):           pipeline_stage = 'UPLOADING'</w:t>
              <w:br/>
              <w:t>elif validation:                             pipeline_stage = 'COMPLETE'</w:t>
              <w:br/>
              <w:t>else:                                        pipeline_stage = 'VALIDATING'</w:t>
            </w:r>
          </w:p>
        </w:tc>
      </w:tr>
    </w:tbl>
    <w:p/>
    <w:tbl>
      <w:tblPr>
        <w:tblStyle w:val="TableGrid"/>
        <w:tblW w:type="auto" w:w="0"/>
        <w:tblLook w:firstColumn="1" w:firstRow="1" w:lastColumn="0" w:lastRow="0" w:noHBand="0" w:noVBand="1" w:val="04A0"/>
      </w:tblPr>
      <w:tblGrid>
        <w:gridCol w:w="9746"/>
      </w:tblGrid>
      <w:tr>
        <w:tc>
          <w:tcPr>
            <w:tcW w:type="dxa" w:w="9746"/>
            <w:shd w:val="clear" w:color="auto" w:fill="E2EFDA"/>
          </w:tcPr>
          <w:p>
            <w:r>
              <w:rPr>
                <w:b/>
                <w:color w:val="375A23"/>
                <w:sz w:val="19"/>
              </w:rPr>
              <w:t xml:space="preserve">Why derive pipeline_stage from DB state?  </w:t>
            </w:r>
            <w:r>
              <w:rPr>
                <w:sz w:val="19"/>
              </w:rPr>
              <w:t>Storing pipeline_stage as a separate field creates duplication — it would go out of sync if document statuses are updated but pipeline_stage is not. Deriving it from the actual document statuses and presence of a ValidationResult means it is always consistent with ground truth. One source of truth.</w:t>
            </w:r>
          </w:p>
        </w:tc>
      </w:tr>
    </w:tbl>
    <w:p/>
    <w:p>
      <w:pPr>
        <w:pStyle w:val="Heading1"/>
        <w:jc w:val="left"/>
      </w:pPr>
      <w:r>
        <w:rPr>
          <w:color w:val="1F497D"/>
        </w:rPr>
        <w:t>5. Challenges Faced &amp; How I Solved Them</w:t>
      </w:r>
    </w:p>
    <w:p>
      <w:pPr>
        <w:spacing w:before="40" w:after="80"/>
      </w:pPr>
      <w:r>
        <w:rPr>
          <w:b w:val="0"/>
          <w:i/>
          <w:sz w:val="20"/>
        </w:rPr>
        <w:t>These are real problems hit during development — mention them to show the project is genuine.</w:t>
      </w:r>
    </w:p>
    <w:p/>
    <w:p>
      <w:pPr>
        <w:pStyle w:val="ListBullet"/>
        <w:spacing w:before="20" w:after="40"/>
      </w:pPr>
      <w:r>
        <w:rPr>
          <w:b/>
          <w:sz w:val="19"/>
        </w:rPr>
        <w:t xml:space="preserve">OpenAI 'Invalid MIME type' error when uploading PDFs  </w:t>
      </w:r>
      <w:r>
        <w:rPr>
          <w:sz w:val="19"/>
        </w:rPr>
        <w:t>The original code sent the PDF file directly to OpenAI as application/pdf. OpenAI Vision API only accepts image types (PNG, JPEG). Fix: replaced the broken fallback with PyMuPDF — the PDF is rendered to a PNG image first, then sent as image/png.</w:t>
      </w:r>
    </w:p>
    <w:tbl>
      <w:tblPr>
        <w:tblStyle w:val="TableGrid"/>
        <w:tblW w:type="auto" w:w="0"/>
        <w:tblLook w:firstColumn="1" w:firstRow="1" w:lastColumn="0" w:lastRow="0" w:noHBand="0" w:noVBand="1" w:val="04A0"/>
      </w:tblPr>
      <w:tblGrid>
        <w:gridCol w:w="9746"/>
      </w:tblGrid>
      <w:tr>
        <w:tc>
          <w:tcPr>
            <w:tcW w:type="dxa" w:w="9746"/>
            <w:shd w:val="clear" w:color="auto" w:fill="F3F3F3"/>
          </w:tcPr>
          <w:p>
            <w:r>
              <w:rPr>
                <w:rFonts w:ascii="Courier New" w:hAnsi="Courier New"/>
                <w:color w:val="1E1E1E"/>
                <w:sz w:val="17"/>
              </w:rPr>
              <w:t># Before (broken)</w:t>
              <w:br/>
              <w:t>return base64.b64encode(pdf_bytes), 'application/pdf'  # OpenAI rejects this</w:t>
              <w:br/>
              <w:br/>
              <w:t># After (fixed)</w:t>
              <w:br/>
              <w:t>doc = fitz.open(file_path)</w:t>
              <w:br/>
              <w:t>pix = doc[0].get_pixmap(matrix=fitz.Matrix(3, 3))</w:t>
              <w:br/>
              <w:t>return base64.b64encode(pix.tobytes('png')), 'image/png'</w:t>
            </w:r>
          </w:p>
        </w:tc>
      </w:tr>
    </w:tbl>
    <w:p/>
    <w:p>
      <w:pPr>
        <w:pStyle w:val="ListBullet"/>
        <w:spacing w:before="20" w:after="40"/>
      </w:pPr>
      <w:r>
        <w:rPr>
          <w:b/>
          <w:sz w:val="19"/>
        </w:rPr>
        <w:t xml:space="preserve">DOB misread: '20/03/2004' instead of '20/01/2004'  </w:t>
      </w:r>
      <w:r>
        <w:rPr>
          <w:sz w:val="19"/>
        </w:rPr>
        <w:t>GPT-4o misread month '01' (January) as '03' (March) on a 144 DPI render. The cross-document DOB check correctly caught this as FAIL (Aadhar had the correct date). Fix: increased zoom from 2× (144 DPI) to 3× (216 DPI) for sharper digit rendering.</w:t>
      </w:r>
    </w:p>
    <w:tbl>
      <w:tblPr>
        <w:tblStyle w:val="TableGrid"/>
        <w:tblW w:type="auto" w:w="0"/>
        <w:tblLook w:firstColumn="1" w:firstRow="1" w:lastColumn="0" w:lastRow="0" w:noHBand="0" w:noVBand="1" w:val="04A0"/>
      </w:tblPr>
      <w:tblGrid>
        <w:gridCol w:w="9746"/>
      </w:tblGrid>
      <w:tr>
        <w:tc>
          <w:tcPr>
            <w:tcW w:type="dxa" w:w="9746"/>
            <w:shd w:val="clear" w:color="auto" w:fill="F3F3F3"/>
          </w:tcPr>
          <w:p>
            <w:r>
              <w:rPr>
                <w:rFonts w:ascii="Courier New" w:hAnsi="Courier New"/>
                <w:color w:val="1E1E1E"/>
                <w:sz w:val="17"/>
              </w:rPr>
              <w:t>mat = fitz.Matrix(2, 2)  # Before — 144 DPI</w:t>
              <w:br/>
              <w:t>mat = fitz.Matrix(3, 3)  # After  — 216 DPI, clearer digits</w:t>
            </w:r>
          </w:p>
        </w:tc>
      </w:tr>
    </w:tbl>
    <w:p/>
    <w:p>
      <w:pPr>
        <w:pStyle w:val="ListBullet"/>
        <w:spacing w:before="20" w:after="40"/>
      </w:pPr>
      <w:r>
        <w:rPr>
          <w:b/>
          <w:sz w:val="19"/>
        </w:rPr>
        <w:t xml:space="preserve">/knowledge-base/status returning 404  </w:t>
      </w:r>
      <w:r>
        <w:rPr>
          <w:sz w:val="19"/>
        </w:rPr>
        <w:t>FastAPI matched the parameterised route /{application_id}/status before the fixed path /knowledge-base/status. Fix: moved all fixed-path routes above parameterised routes.</w:t>
      </w:r>
    </w:p>
    <w:tbl>
      <w:tblPr>
        <w:tblStyle w:val="TableGrid"/>
        <w:tblW w:type="auto" w:w="0"/>
        <w:tblLook w:firstColumn="1" w:firstRow="1" w:lastColumn="0" w:lastRow="0" w:noHBand="0" w:noVBand="1" w:val="04A0"/>
      </w:tblPr>
      <w:tblGrid>
        <w:gridCol w:w="9746"/>
      </w:tblGrid>
      <w:tr>
        <w:tc>
          <w:tcPr>
            <w:tcW w:type="dxa" w:w="9746"/>
            <w:shd w:val="clear" w:color="auto" w:fill="F3F3F3"/>
          </w:tcPr>
          <w:p>
            <w:r>
              <w:rPr>
                <w:rFonts w:ascii="Courier New" w:hAnsi="Courier New"/>
                <w:color w:val="1E1E1E"/>
                <w:sz w:val="17"/>
              </w:rPr>
              <w:t># Wrong order — /{application_id}/status shadowed /knowledge-base/status</w:t>
              <w:br/>
              <w:t>@router.get('/{application_id}/status')   # registered first — matches 'knowledge-base'</w:t>
              <w:br/>
              <w:t>@router.get('/knowledge-base/status')     # never reached</w:t>
              <w:br/>
              <w:br/>
              <w:t># Fixed order</w:t>
              <w:br/>
              <w:t>@router.get('/knowledge-base/status')     # fixed paths first</w:t>
              <w:br/>
              <w:t>@router.get('/{application_id}/status')   # parameterised routes after</w:t>
            </w:r>
          </w:p>
        </w:tc>
      </w:tr>
    </w:tbl>
    <w:p/>
    <w:p>
      <w:pPr>
        <w:pStyle w:val="ListBullet"/>
        <w:spacing w:before="20" w:after="40"/>
      </w:pPr>
      <w:r>
        <w:rPr>
          <w:b/>
          <w:sz w:val="19"/>
        </w:rPr>
        <w:t xml:space="preserve">Spring Boot receiving score=null from FastAPI callback  </w:t>
      </w:r>
      <w:r>
        <w:rPr>
          <w:sz w:val="19"/>
        </w:rPr>
        <w:t>FastAPI sends overall_score (snake_case) but Spring Boot's DTO had overallScore (camelCase). Jackson couldn't deserialise without a mapping annotation.</w:t>
      </w:r>
    </w:p>
    <w:tbl>
      <w:tblPr>
        <w:tblStyle w:val="TableGrid"/>
        <w:tblW w:type="auto" w:w="0"/>
        <w:tblLook w:firstColumn="1" w:firstRow="1" w:lastColumn="0" w:lastRow="0" w:noHBand="0" w:noVBand="1" w:val="04A0"/>
      </w:tblPr>
      <w:tblGrid>
        <w:gridCol w:w="9746"/>
      </w:tblGrid>
      <w:tr>
        <w:tc>
          <w:tcPr>
            <w:tcW w:type="dxa" w:w="9746"/>
            <w:shd w:val="clear" w:color="auto" w:fill="F3F3F3"/>
          </w:tcPr>
          <w:p>
            <w:r>
              <w:rPr>
                <w:rFonts w:ascii="Courier New" w:hAnsi="Courier New"/>
                <w:color w:val="1E1E1E"/>
                <w:sz w:val="17"/>
              </w:rPr>
              <w:t>// Before — Jackson could not map 'overall_score' → overallScore</w:t>
              <w:br/>
              <w:t>private Double overallScore;</w:t>
              <w:br/>
              <w:br/>
              <w:t>// After — explicit mapping</w:t>
              <w:br/>
              <w:t>@JsonProperty("overall_score")</w:t>
              <w:br/>
              <w:t>private Double overallScore;</w:t>
              <w:br/>
              <w:t>@JsonProperty("decision_reason")</w:t>
              <w:br/>
              <w:t>private String decisionReason;</w:t>
            </w:r>
          </w:p>
        </w:tc>
      </w:tr>
    </w:tbl>
    <w:p/>
    <w:p>
      <w:pPr>
        <w:pStyle w:val="ListBullet"/>
        <w:spacing w:before="20" w:after="40"/>
      </w:pPr>
      <w:r>
        <w:rPr>
          <w:b/>
          <w:sz w:val="19"/>
        </w:rPr>
        <w:t xml:space="preserve">12th marksheet: stream and percentage null  </w:t>
      </w:r>
      <w:r>
        <w:rPr>
          <w:sz w:val="19"/>
        </w:rPr>
        <w:t>CBSE 12th marksheets don't always print stream or a total percentage. Fix: updated the system prompt to instruct GPT-4o to infer stream from subject names (Physics + Chemistry + Maths → Science) and calculate percentage from theory subjects if the total is not printed.</w:t>
      </w:r>
    </w:p>
    <w:tbl>
      <w:tblPr>
        <w:tblStyle w:val="TableGrid"/>
        <w:tblW w:type="auto" w:w="0"/>
        <w:tblLook w:firstColumn="1" w:firstRow="1" w:lastColumn="0" w:lastRow="0" w:noHBand="0" w:noVBand="1" w:val="04A0"/>
      </w:tblPr>
      <w:tblGrid>
        <w:gridCol w:w="9746"/>
      </w:tblGrid>
      <w:tr>
        <w:tc>
          <w:tcPr>
            <w:tcW w:type="dxa" w:w="9746"/>
            <w:shd w:val="clear" w:color="auto" w:fill="F3F3F3"/>
          </w:tcPr>
          <w:p>
            <w:r>
              <w:rPr>
                <w:rFonts w:ascii="Courier New" w:hAnsi="Courier New"/>
                <w:color w:val="1E1E1E"/>
                <w:sz w:val="17"/>
              </w:rPr>
              <w:t># Added to SYSTEM_12TH prompt:</w:t>
              <w:br/>
              <w:t>'For stream: infer from subjects if not printed'</w:t>
              <w:br/>
              <w:t>'  (Physics/Chemistry/Maths → Science)'</w:t>
              <w:br/>
              <w:t>'  (Accountancy/Business Studies → Commerce)'</w:t>
              <w:br/>
              <w:t>'For percentage: use printed value; else calculate from'</w:t>
              <w:br/>
              <w:t>'  total_marks_obtained / total_max_marks × 100'</w:t>
            </w:r>
          </w:p>
        </w:tc>
      </w:tr>
    </w:tbl>
    <w:p/>
    <w:p>
      <w:pPr>
        <w:pStyle w:val="ListBullet"/>
        <w:spacing w:before="20" w:after="40"/>
      </w:pPr>
      <w:r>
        <w:rPr>
          <w:b/>
          <w:sz w:val="19"/>
        </w:rPr>
        <w:t xml:space="preserve">Kafka Docker image not available (bitnami/kafka removed from Docker Hub)  </w:t>
      </w:r>
      <w:r>
        <w:rPr>
          <w:sz w:val="19"/>
        </w:rPr>
        <w:t>bitnami/kafka:3.7 and bitnami/kafka:latest were removed from Docker Hub. Fix: switched to apache/kafka:latest with updated KRaft-mode environment variables.</w:t>
      </w:r>
    </w:p>
    <w:tbl>
      <w:tblPr>
        <w:tblStyle w:val="TableGrid"/>
        <w:tblW w:type="auto" w:w="0"/>
        <w:tblLook w:firstColumn="1" w:firstRow="1" w:lastColumn="0" w:lastRow="0" w:noHBand="0" w:noVBand="1" w:val="04A0"/>
      </w:tblPr>
      <w:tblGrid>
        <w:gridCol w:w="9746"/>
      </w:tblGrid>
      <w:tr>
        <w:tc>
          <w:tcPr>
            <w:tcW w:type="dxa" w:w="9746"/>
            <w:shd w:val="clear" w:color="auto" w:fill="F3F3F3"/>
          </w:tcPr>
          <w:p>
            <w:r>
              <w:rPr>
                <w:rFonts w:ascii="Courier New" w:hAnsi="Courier New"/>
                <w:color w:val="1E1E1E"/>
                <w:sz w:val="17"/>
              </w:rPr>
              <w:t># Before (broken)</w:t>
              <w:br/>
              <w:t>image: bitnami/kafka:3.7</w:t>
              <w:br/>
              <w:br/>
              <w:t># After (fixed)</w:t>
              <w:br/>
              <w:t>image: apache/kafka:latest</w:t>
              <w:br/>
              <w:t>environment:</w:t>
              <w:br/>
              <w:t xml:space="preserve">  KAFKA_NODE_ID: 1</w:t>
              <w:br/>
              <w:t xml:space="preserve">  KAFKA_PROCESS_ROLES: broker,controller</w:t>
              <w:br/>
              <w:t xml:space="preserve">  KAFKA_LISTENERS: PLAINTEXT://:9092,CONTROLLER://:9093</w:t>
            </w:r>
          </w:p>
        </w:tc>
      </w:tr>
    </w:tbl>
    <w:p/>
    <w:p>
      <w:pPr>
        <w:pStyle w:val="Heading1"/>
        <w:jc w:val="left"/>
      </w:pPr>
      <w:r>
        <w:rPr>
          <w:color w:val="1F497D"/>
        </w:rPr>
        <w:t>6. Key Numbers to Mention in Interview</w:t>
      </w:r>
    </w:p>
    <w:tbl>
      <w:tblPr>
        <w:tblStyle w:val="TableGrid"/>
        <w:tblW w:type="auto" w:w="0"/>
        <w:tblLook w:firstColumn="1" w:firstRow="1" w:lastColumn="0" w:lastRow="0" w:noHBand="0" w:noVBand="1" w:val="04A0"/>
      </w:tblPr>
      <w:tblGrid>
        <w:gridCol w:w="3249"/>
        <w:gridCol w:w="3249"/>
        <w:gridCol w:w="3249"/>
      </w:tblGrid>
      <w:tr>
        <w:tc>
          <w:tcPr>
            <w:tcW w:type="dxa" w:w="2880"/>
            <w:shd w:val="clear" w:color="auto" w:fill="1F497D"/>
          </w:tcPr>
          <w:p>
            <w:r>
              <w:rPr>
                <w:b/>
                <w:color w:val="FFFFFF"/>
                <w:sz w:val="18"/>
              </w:rPr>
              <w:t>Metric</w:t>
            </w:r>
          </w:p>
        </w:tc>
        <w:tc>
          <w:tcPr>
            <w:tcW w:type="dxa" w:w="2160"/>
            <w:shd w:val="clear" w:color="auto" w:fill="1F497D"/>
          </w:tcPr>
          <w:p>
            <w:r>
              <w:rPr>
                <w:b/>
                <w:color w:val="FFFFFF"/>
                <w:sz w:val="18"/>
              </w:rPr>
              <w:t>Value</w:t>
            </w:r>
          </w:p>
        </w:tc>
        <w:tc>
          <w:tcPr>
            <w:tcW w:type="dxa" w:w="4896"/>
            <w:shd w:val="clear" w:color="auto" w:fill="1F497D"/>
          </w:tcPr>
          <w:p>
            <w:r>
              <w:rPr>
                <w:b/>
                <w:color w:val="FFFFFF"/>
                <w:sz w:val="18"/>
              </w:rPr>
              <w:t>Why It Matters</w:t>
            </w:r>
          </w:p>
        </w:tc>
      </w:tr>
      <w:tr>
        <w:tc>
          <w:tcPr>
            <w:tcW w:type="dxa" w:w="2880"/>
            <w:shd w:val="clear" w:color="auto" w:fill="EBF3FB"/>
          </w:tcPr>
          <w:p>
            <w:r>
              <w:rPr>
                <w:sz w:val="18"/>
              </w:rPr>
              <w:t>Project phases</w:t>
            </w:r>
          </w:p>
        </w:tc>
        <w:tc>
          <w:tcPr>
            <w:tcW w:type="dxa" w:w="2160"/>
            <w:shd w:val="clear" w:color="auto" w:fill="EBF3FB"/>
          </w:tcPr>
          <w:p>
            <w:r>
              <w:rPr>
                <w:sz w:val="18"/>
              </w:rPr>
              <w:t>9  (Phase 0–8)</w:t>
            </w:r>
          </w:p>
        </w:tc>
        <w:tc>
          <w:tcPr>
            <w:tcW w:type="dxa" w:w="4896"/>
            <w:shd w:val="clear" w:color="auto" w:fill="EBF3FB"/>
          </w:tcPr>
          <w:p>
            <w:r>
              <w:rPr>
                <w:sz w:val="18"/>
              </w:rPr>
              <w:t>Shows structured, planned delivery</w:t>
            </w:r>
          </w:p>
        </w:tc>
      </w:tr>
      <w:tr>
        <w:tc>
          <w:tcPr>
            <w:tcW w:type="dxa" w:w="2880"/>
            <w:shd w:val="clear" w:color="auto" w:fill="FFFFFF"/>
          </w:tcPr>
          <w:p>
            <w:r>
              <w:rPr>
                <w:sz w:val="18"/>
              </w:rPr>
              <w:t>Development time</w:t>
            </w:r>
          </w:p>
        </w:tc>
        <w:tc>
          <w:tcPr>
            <w:tcW w:type="dxa" w:w="2160"/>
            <w:shd w:val="clear" w:color="auto" w:fill="FFFFFF"/>
          </w:tcPr>
          <w:p>
            <w:r>
              <w:rPr>
                <w:sz w:val="18"/>
              </w:rPr>
              <w:t>9 days (with AI)</w:t>
            </w:r>
          </w:p>
        </w:tc>
        <w:tc>
          <w:tcPr>
            <w:tcW w:type="dxa" w:w="4896"/>
            <w:shd w:val="clear" w:color="auto" w:fill="FFFFFF"/>
          </w:tcPr>
          <w:p>
            <w:r>
              <w:rPr>
                <w:sz w:val="18"/>
              </w:rPr>
              <w:t>vs 18 days without AI assistance</w:t>
            </w:r>
          </w:p>
        </w:tc>
      </w:tr>
      <w:tr>
        <w:tc>
          <w:tcPr>
            <w:tcW w:type="dxa" w:w="2880"/>
            <w:shd w:val="clear" w:color="auto" w:fill="EBF3FB"/>
          </w:tcPr>
          <w:p>
            <w:r>
              <w:rPr>
                <w:sz w:val="18"/>
              </w:rPr>
              <w:t>Documents supported</w:t>
            </w:r>
          </w:p>
        </w:tc>
        <w:tc>
          <w:tcPr>
            <w:tcW w:type="dxa" w:w="2160"/>
            <w:shd w:val="clear" w:color="auto" w:fill="EBF3FB"/>
          </w:tcPr>
          <w:p>
            <w:r>
              <w:rPr>
                <w:sz w:val="18"/>
              </w:rPr>
              <w:t>3 types</w:t>
            </w:r>
          </w:p>
        </w:tc>
        <w:tc>
          <w:tcPr>
            <w:tcW w:type="dxa" w:w="4896"/>
            <w:shd w:val="clear" w:color="auto" w:fill="EBF3FB"/>
          </w:tcPr>
          <w:p>
            <w:r>
              <w:rPr>
                <w:sz w:val="18"/>
              </w:rPr>
              <w:t>10th marksheet, 12th marksheet, Aadhar card</w:t>
            </w:r>
          </w:p>
        </w:tc>
      </w:tr>
      <w:tr>
        <w:tc>
          <w:tcPr>
            <w:tcW w:type="dxa" w:w="2880"/>
            <w:shd w:val="clear" w:color="auto" w:fill="FFFFFF"/>
          </w:tcPr>
          <w:p>
            <w:r>
              <w:rPr>
                <w:sz w:val="18"/>
              </w:rPr>
              <w:t>Validation checks</w:t>
            </w:r>
          </w:p>
        </w:tc>
        <w:tc>
          <w:tcPr>
            <w:tcW w:type="dxa" w:w="2160"/>
            <w:shd w:val="clear" w:color="auto" w:fill="FFFFFF"/>
          </w:tcPr>
          <w:p>
            <w:r>
              <w:rPr>
                <w:sz w:val="18"/>
              </w:rPr>
              <w:t>22+ checks</w:t>
            </w:r>
          </w:p>
        </w:tc>
        <w:tc>
          <w:tcPr>
            <w:tcW w:type="dxa" w:w="4896"/>
            <w:shd w:val="clear" w:color="auto" w:fill="FFFFFF"/>
          </w:tcPr>
          <w:p>
            <w:r>
              <w:rPr>
                <w:sz w:val="18"/>
              </w:rPr>
              <w:t>Field checks + cross-doc + eligibility + RAG</w:t>
            </w:r>
          </w:p>
        </w:tc>
      </w:tr>
      <w:tr>
        <w:tc>
          <w:tcPr>
            <w:tcW w:type="dxa" w:w="2880"/>
            <w:shd w:val="clear" w:color="auto" w:fill="EBF3FB"/>
          </w:tcPr>
          <w:p>
            <w:r>
              <w:rPr>
                <w:sz w:val="18"/>
              </w:rPr>
              <w:t>Extraction confidence</w:t>
            </w:r>
          </w:p>
        </w:tc>
        <w:tc>
          <w:tcPr>
            <w:tcW w:type="dxa" w:w="2160"/>
            <w:shd w:val="clear" w:color="auto" w:fill="EBF3FB"/>
          </w:tcPr>
          <w:p>
            <w:r>
              <w:rPr>
                <w:sz w:val="18"/>
              </w:rPr>
              <w:t>Per-field (0.0–1.0)</w:t>
            </w:r>
          </w:p>
        </w:tc>
        <w:tc>
          <w:tcPr>
            <w:tcW w:type="dxa" w:w="4896"/>
            <w:shd w:val="clear" w:color="auto" w:fill="EBF3FB"/>
          </w:tcPr>
          <w:p>
            <w:r>
              <w:rPr>
                <w:sz w:val="18"/>
              </w:rPr>
              <w:t>Each field has its own confidence score from GPT-4o</w:t>
            </w:r>
          </w:p>
        </w:tc>
      </w:tr>
      <w:tr>
        <w:tc>
          <w:tcPr>
            <w:tcW w:type="dxa" w:w="2880"/>
            <w:shd w:val="clear" w:color="auto" w:fill="FFFFFF"/>
          </w:tcPr>
          <w:p>
            <w:r>
              <w:rPr>
                <w:sz w:val="18"/>
              </w:rPr>
              <w:t>PDF render resolution</w:t>
            </w:r>
          </w:p>
        </w:tc>
        <w:tc>
          <w:tcPr>
            <w:tcW w:type="dxa" w:w="2160"/>
            <w:shd w:val="clear" w:color="auto" w:fill="FFFFFF"/>
          </w:tcPr>
          <w:p>
            <w:r>
              <w:rPr>
                <w:sz w:val="18"/>
              </w:rPr>
              <w:t>216 DPI  (3× zoom)</w:t>
            </w:r>
          </w:p>
        </w:tc>
        <w:tc>
          <w:tcPr>
            <w:tcW w:type="dxa" w:w="4896"/>
            <w:shd w:val="clear" w:color="auto" w:fill="FFFFFF"/>
          </w:tcPr>
          <w:p>
            <w:r>
              <w:rPr>
                <w:sz w:val="18"/>
              </w:rPr>
              <w:t>Reduces digit misread errors in OCR</w:t>
            </w:r>
          </w:p>
        </w:tc>
      </w:tr>
      <w:tr>
        <w:tc>
          <w:tcPr>
            <w:tcW w:type="dxa" w:w="2880"/>
            <w:shd w:val="clear" w:color="auto" w:fill="EBF3FB"/>
          </w:tcPr>
          <w:p>
            <w:r>
              <w:rPr>
                <w:sz w:val="18"/>
              </w:rPr>
              <w:t>Name match threshold</w:t>
            </w:r>
          </w:p>
        </w:tc>
        <w:tc>
          <w:tcPr>
            <w:tcW w:type="dxa" w:w="2160"/>
            <w:shd w:val="clear" w:color="auto" w:fill="EBF3FB"/>
          </w:tcPr>
          <w:p>
            <w:r>
              <w:rPr>
                <w:sz w:val="18"/>
              </w:rPr>
              <w:t>≥ 85%</w:t>
            </w:r>
          </w:p>
        </w:tc>
        <w:tc>
          <w:tcPr>
            <w:tcW w:type="dxa" w:w="4896"/>
            <w:shd w:val="clear" w:color="auto" w:fill="EBF3FB"/>
          </w:tcPr>
          <w:p>
            <w:r>
              <w:rPr>
                <w:sz w:val="18"/>
              </w:rPr>
              <w:t>Levenshtein token sort via thefuzz library</w:t>
            </w:r>
          </w:p>
        </w:tc>
      </w:tr>
      <w:tr>
        <w:tc>
          <w:tcPr>
            <w:tcW w:type="dxa" w:w="2880"/>
            <w:shd w:val="clear" w:color="auto" w:fill="FFFFFF"/>
          </w:tcPr>
          <w:p>
            <w:r>
              <w:rPr>
                <w:sz w:val="18"/>
              </w:rPr>
              <w:t>Kafka delivery guarantee</w:t>
            </w:r>
          </w:p>
        </w:tc>
        <w:tc>
          <w:tcPr>
            <w:tcW w:type="dxa" w:w="2160"/>
            <w:shd w:val="clear" w:color="auto" w:fill="FFFFFF"/>
          </w:tcPr>
          <w:p>
            <w:r>
              <w:rPr>
                <w:sz w:val="18"/>
              </w:rPr>
              <w:t>At-least-once</w:t>
            </w:r>
          </w:p>
        </w:tc>
        <w:tc>
          <w:tcPr>
            <w:tcW w:type="dxa" w:w="4896"/>
            <w:shd w:val="clear" w:color="auto" w:fill="FFFFFF"/>
          </w:tcPr>
          <w:p>
            <w:r>
              <w:rPr>
                <w:sz w:val="18"/>
              </w:rPr>
              <w:t>Offset committed only after successful processing</w:t>
            </w:r>
          </w:p>
        </w:tc>
      </w:tr>
      <w:tr>
        <w:tc>
          <w:tcPr>
            <w:tcW w:type="dxa" w:w="2880"/>
            <w:shd w:val="clear" w:color="auto" w:fill="EBF3FB"/>
          </w:tcPr>
          <w:p>
            <w:r>
              <w:rPr>
                <w:sz w:val="18"/>
              </w:rPr>
              <w:t>Aadhar privacy</w:t>
            </w:r>
          </w:p>
        </w:tc>
        <w:tc>
          <w:tcPr>
            <w:tcW w:type="dxa" w:w="2160"/>
            <w:shd w:val="clear" w:color="auto" w:fill="EBF3FB"/>
          </w:tcPr>
          <w:p>
            <w:r>
              <w:rPr>
                <w:sz w:val="18"/>
              </w:rPr>
              <w:t>Last 4 digits only</w:t>
            </w:r>
          </w:p>
        </w:tc>
        <w:tc>
          <w:tcPr>
            <w:tcW w:type="dxa" w:w="4896"/>
            <w:shd w:val="clear" w:color="auto" w:fill="EBF3FB"/>
          </w:tcPr>
          <w:p>
            <w:r>
              <w:rPr>
                <w:sz w:val="18"/>
              </w:rPr>
              <w:t>Full Aadhar number never stored — privacy by design</w:t>
            </w:r>
          </w:p>
        </w:tc>
      </w:tr>
      <w:tr>
        <w:tc>
          <w:tcPr>
            <w:tcW w:type="dxa" w:w="2880"/>
            <w:shd w:val="clear" w:color="auto" w:fill="FFFFFF"/>
          </w:tcPr>
          <w:p>
            <w:r>
              <w:rPr>
                <w:sz w:val="18"/>
              </w:rPr>
              <w:t>Test frameworks</w:t>
            </w:r>
          </w:p>
        </w:tc>
        <w:tc>
          <w:tcPr>
            <w:tcW w:type="dxa" w:w="2160"/>
            <w:shd w:val="clear" w:color="auto" w:fill="FFFFFF"/>
          </w:tcPr>
          <w:p>
            <w:r>
              <w:rPr>
                <w:sz w:val="18"/>
              </w:rPr>
              <w:t>pytest + JUnit 5</w:t>
            </w:r>
          </w:p>
        </w:tc>
        <w:tc>
          <w:tcPr>
            <w:tcW w:type="dxa" w:w="4896"/>
            <w:shd w:val="clear" w:color="auto" w:fill="FFFFFF"/>
          </w:tcPr>
          <w:p>
            <w:r>
              <w:rPr>
                <w:sz w:val="18"/>
              </w:rPr>
              <w:t>Both services have unit + integration tests</w:t>
            </w:r>
          </w:p>
        </w:tc>
      </w:tr>
      <w:tr>
        <w:tc>
          <w:tcPr>
            <w:tcW w:type="dxa" w:w="2880"/>
            <w:shd w:val="clear" w:color="auto" w:fill="EBF3FB"/>
          </w:tcPr>
          <w:p>
            <w:r>
              <w:rPr>
                <w:sz w:val="18"/>
              </w:rPr>
              <w:t>Async HTTP client</w:t>
            </w:r>
          </w:p>
        </w:tc>
        <w:tc>
          <w:tcPr>
            <w:tcW w:type="dxa" w:w="2160"/>
            <w:shd w:val="clear" w:color="auto" w:fill="EBF3FB"/>
          </w:tcPr>
          <w:p>
            <w:r>
              <w:rPr>
                <w:sz w:val="18"/>
              </w:rPr>
              <w:t>httpx (FastAPI side)</w:t>
            </w:r>
          </w:p>
        </w:tc>
        <w:tc>
          <w:tcPr>
            <w:tcW w:type="dxa" w:w="4896"/>
            <w:shd w:val="clear" w:color="auto" w:fill="EBF3FB"/>
          </w:tcPr>
          <w:p>
            <w:r>
              <w:rPr>
                <w:sz w:val="18"/>
              </w:rPr>
              <w:t>Async callback to Spring Boot without blocking</w:t>
            </w:r>
          </w:p>
        </w:tc>
      </w:tr>
      <w:tr>
        <w:tc>
          <w:tcPr>
            <w:tcW w:type="dxa" w:w="2880"/>
            <w:shd w:val="clear" w:color="auto" w:fill="FFFFFF"/>
          </w:tcPr>
          <w:p>
            <w:r>
              <w:rPr>
                <w:sz w:val="18"/>
              </w:rPr>
              <w:t>Spring Boot HTTP client</w:t>
            </w:r>
          </w:p>
        </w:tc>
        <w:tc>
          <w:tcPr>
            <w:tcW w:type="dxa" w:w="2160"/>
            <w:shd w:val="clear" w:color="auto" w:fill="FFFFFF"/>
          </w:tcPr>
          <w:p>
            <w:r>
              <w:rPr>
                <w:sz w:val="18"/>
              </w:rPr>
              <w:t>WebFlux WebClient</w:t>
            </w:r>
          </w:p>
        </w:tc>
        <w:tc>
          <w:tcPr>
            <w:tcW w:type="dxa" w:w="4896"/>
            <w:shd w:val="clear" w:color="auto" w:fill="FFFFFF"/>
          </w:tcPr>
          <w:p>
            <w:r>
              <w:rPr>
                <w:sz w:val="18"/>
              </w:rPr>
              <w:t>Non-blocking HTTP call from Java to FastAPI</w:t>
            </w:r>
          </w:p>
        </w:tc>
      </w:tr>
    </w:tbl>
    <w:p/>
    <w:p>
      <w:pPr>
        <w:pStyle w:val="Heading1"/>
        <w:jc w:val="left"/>
      </w:pPr>
      <w:r>
        <w:rPr>
          <w:color w:val="1F497D"/>
        </w:rPr>
        <w:t>7. One Document's Complete Journey (For Quick Recall)</w:t>
      </w:r>
    </w:p>
    <w:tbl>
      <w:tblPr>
        <w:tblStyle w:val="TableGrid"/>
        <w:tblW w:type="auto" w:w="0"/>
        <w:tblLook w:firstColumn="1" w:firstRow="1" w:lastColumn="0" w:lastRow="0" w:noHBand="0" w:noVBand="1" w:val="04A0"/>
      </w:tblPr>
      <w:tblGrid>
        <w:gridCol w:w="2436"/>
        <w:gridCol w:w="2436"/>
        <w:gridCol w:w="2436"/>
        <w:gridCol w:w="2436"/>
      </w:tblGrid>
      <w:tr>
        <w:tc>
          <w:tcPr>
            <w:tcW w:type="dxa" w:w="432"/>
            <w:shd w:val="clear" w:color="auto" w:fill="1F497D"/>
          </w:tcPr>
          <w:p>
            <w:r>
              <w:rPr>
                <w:b/>
                <w:color w:val="FFFFFF"/>
                <w:sz w:val="18"/>
              </w:rPr>
              <w:t>#</w:t>
            </w:r>
          </w:p>
        </w:tc>
        <w:tc>
          <w:tcPr>
            <w:tcW w:type="dxa" w:w="3600"/>
            <w:shd w:val="clear" w:color="auto" w:fill="1F497D"/>
          </w:tcPr>
          <w:p>
            <w:r>
              <w:rPr>
                <w:b/>
                <w:color w:val="FFFFFF"/>
                <w:sz w:val="18"/>
              </w:rPr>
              <w:t>Event</w:t>
            </w:r>
          </w:p>
        </w:tc>
        <w:tc>
          <w:tcPr>
            <w:tcW w:type="dxa" w:w="2880"/>
            <w:shd w:val="clear" w:color="auto" w:fill="1F497D"/>
          </w:tcPr>
          <w:p>
            <w:r>
              <w:rPr>
                <w:b/>
                <w:color w:val="FFFFFF"/>
                <w:sz w:val="18"/>
              </w:rPr>
              <w:t>System</w:t>
            </w:r>
          </w:p>
        </w:tc>
        <w:tc>
          <w:tcPr>
            <w:tcW w:type="dxa" w:w="3024"/>
            <w:shd w:val="clear" w:color="auto" w:fill="1F497D"/>
          </w:tcPr>
          <w:p>
            <w:r>
              <w:rPr>
                <w:b/>
                <w:color w:val="FFFFFF"/>
                <w:sz w:val="18"/>
              </w:rPr>
              <w:t>State After</w:t>
            </w:r>
          </w:p>
        </w:tc>
      </w:tr>
      <w:tr>
        <w:tc>
          <w:tcPr>
            <w:tcW w:type="dxa" w:w="432"/>
            <w:shd w:val="clear" w:color="auto" w:fill="EBF3FB"/>
          </w:tcPr>
          <w:p>
            <w:r>
              <w:rPr>
                <w:sz w:val="18"/>
              </w:rPr>
              <w:t>1</w:t>
            </w:r>
          </w:p>
        </w:tc>
        <w:tc>
          <w:tcPr>
            <w:tcW w:type="dxa" w:w="3600"/>
            <w:shd w:val="clear" w:color="auto" w:fill="EBF3FB"/>
          </w:tcPr>
          <w:p>
            <w:r>
              <w:rPr>
                <w:sz w:val="18"/>
              </w:rPr>
              <w:t>Admin uploads PDF</w:t>
            </w:r>
          </w:p>
        </w:tc>
        <w:tc>
          <w:tcPr>
            <w:tcW w:type="dxa" w:w="2880"/>
            <w:shd w:val="clear" w:color="auto" w:fill="EBF3FB"/>
          </w:tcPr>
          <w:p>
            <w:r>
              <w:rPr>
                <w:sz w:val="18"/>
              </w:rPr>
              <w:t>Streamlit → FastAPI</w:t>
            </w:r>
          </w:p>
        </w:tc>
        <w:tc>
          <w:tcPr>
            <w:tcW w:type="dxa" w:w="3024"/>
            <w:shd w:val="clear" w:color="auto" w:fill="EBF3FB"/>
          </w:tcPr>
          <w:p>
            <w:r>
              <w:rPr>
                <w:sz w:val="18"/>
              </w:rPr>
              <w:t>Document: PENDING  |  SQLite</w:t>
            </w:r>
          </w:p>
        </w:tc>
      </w:tr>
      <w:tr>
        <w:tc>
          <w:tcPr>
            <w:tcW w:type="dxa" w:w="432"/>
            <w:shd w:val="clear" w:color="auto" w:fill="FFFFFF"/>
          </w:tcPr>
          <w:p>
            <w:r>
              <w:rPr>
                <w:sz w:val="18"/>
              </w:rPr>
              <w:t>2</w:t>
            </w:r>
          </w:p>
        </w:tc>
        <w:tc>
          <w:tcPr>
            <w:tcW w:type="dxa" w:w="3600"/>
            <w:shd w:val="clear" w:color="auto" w:fill="FFFFFF"/>
          </w:tcPr>
          <w:p>
            <w:r>
              <w:rPr>
                <w:sz w:val="18"/>
              </w:rPr>
              <w:t>File saved, Kafka message published</w:t>
            </w:r>
          </w:p>
        </w:tc>
        <w:tc>
          <w:tcPr>
            <w:tcW w:type="dxa" w:w="2880"/>
            <w:shd w:val="clear" w:color="auto" w:fill="FFFFFF"/>
          </w:tcPr>
          <w:p>
            <w:r>
              <w:rPr>
                <w:sz w:val="18"/>
              </w:rPr>
              <w:t>FastAPI → Kafka</w:t>
            </w:r>
          </w:p>
        </w:tc>
        <w:tc>
          <w:tcPr>
            <w:tcW w:type="dxa" w:w="3024"/>
            <w:shd w:val="clear" w:color="auto" w:fill="FFFFFF"/>
          </w:tcPr>
          <w:p>
            <w:r>
              <w:rPr>
                <w:sz w:val="18"/>
              </w:rPr>
              <w:t>Message in topic: document-extraction</w:t>
            </w:r>
          </w:p>
        </w:tc>
      </w:tr>
      <w:tr>
        <w:tc>
          <w:tcPr>
            <w:tcW w:type="dxa" w:w="432"/>
            <w:shd w:val="clear" w:color="auto" w:fill="EBF3FB"/>
          </w:tcPr>
          <w:p>
            <w:r>
              <w:rPr>
                <w:sz w:val="18"/>
              </w:rPr>
              <w:t>3</w:t>
            </w:r>
          </w:p>
        </w:tc>
        <w:tc>
          <w:tcPr>
            <w:tcW w:type="dxa" w:w="3600"/>
            <w:shd w:val="clear" w:color="auto" w:fill="EBF3FB"/>
          </w:tcPr>
          <w:p>
            <w:r>
              <w:rPr>
                <w:sz w:val="18"/>
              </w:rPr>
              <w:t>Consumer picks up message</w:t>
            </w:r>
          </w:p>
        </w:tc>
        <w:tc>
          <w:tcPr>
            <w:tcW w:type="dxa" w:w="2880"/>
            <w:shd w:val="clear" w:color="auto" w:fill="EBF3FB"/>
          </w:tcPr>
          <w:p>
            <w:r>
              <w:rPr>
                <w:sz w:val="18"/>
              </w:rPr>
              <w:t>Kafka → Consumer</w:t>
            </w:r>
          </w:p>
        </w:tc>
        <w:tc>
          <w:tcPr>
            <w:tcW w:type="dxa" w:w="3024"/>
            <w:shd w:val="clear" w:color="auto" w:fill="EBF3FB"/>
          </w:tcPr>
          <w:p>
            <w:r>
              <w:rPr>
                <w:sz w:val="18"/>
              </w:rPr>
              <w:t>Document: EXTRACTING  |  SQLite</w:t>
            </w:r>
          </w:p>
        </w:tc>
      </w:tr>
      <w:tr>
        <w:tc>
          <w:tcPr>
            <w:tcW w:type="dxa" w:w="432"/>
            <w:shd w:val="clear" w:color="auto" w:fill="FFFFFF"/>
          </w:tcPr>
          <w:p>
            <w:r>
              <w:rPr>
                <w:sz w:val="18"/>
              </w:rPr>
              <w:t>4</w:t>
            </w:r>
          </w:p>
        </w:tc>
        <w:tc>
          <w:tcPr>
            <w:tcW w:type="dxa" w:w="3600"/>
            <w:shd w:val="clear" w:color="auto" w:fill="FFFFFF"/>
          </w:tcPr>
          <w:p>
            <w:r>
              <w:rPr>
                <w:sz w:val="18"/>
              </w:rPr>
              <w:t>PDF rendered to PNG at 216 DPI</w:t>
            </w:r>
          </w:p>
        </w:tc>
        <w:tc>
          <w:tcPr>
            <w:tcW w:type="dxa" w:w="2880"/>
            <w:shd w:val="clear" w:color="auto" w:fill="FFFFFF"/>
          </w:tcPr>
          <w:p>
            <w:r>
              <w:rPr>
                <w:sz w:val="18"/>
              </w:rPr>
              <w:t>Consumer (PyMuPDF)</w:t>
            </w:r>
          </w:p>
        </w:tc>
        <w:tc>
          <w:tcPr>
            <w:tcW w:type="dxa" w:w="3024"/>
            <w:shd w:val="clear" w:color="auto" w:fill="FFFFFF"/>
          </w:tcPr>
          <w:p>
            <w:r>
              <w:rPr>
                <w:sz w:val="18"/>
              </w:rPr>
              <w:t>PNG bytes in memory</w:t>
            </w:r>
          </w:p>
        </w:tc>
      </w:tr>
      <w:tr>
        <w:tc>
          <w:tcPr>
            <w:tcW w:type="dxa" w:w="432"/>
            <w:shd w:val="clear" w:color="auto" w:fill="EBF3FB"/>
          </w:tcPr>
          <w:p>
            <w:r>
              <w:rPr>
                <w:sz w:val="18"/>
              </w:rPr>
              <w:t>5</w:t>
            </w:r>
          </w:p>
        </w:tc>
        <w:tc>
          <w:tcPr>
            <w:tcW w:type="dxa" w:w="3600"/>
            <w:shd w:val="clear" w:color="auto" w:fill="EBF3FB"/>
          </w:tcPr>
          <w:p>
            <w:r>
              <w:rPr>
                <w:sz w:val="18"/>
              </w:rPr>
              <w:t>GPT-4o extracts fields + confidence</w:t>
            </w:r>
          </w:p>
        </w:tc>
        <w:tc>
          <w:tcPr>
            <w:tcW w:type="dxa" w:w="2880"/>
            <w:shd w:val="clear" w:color="auto" w:fill="EBF3FB"/>
          </w:tcPr>
          <w:p>
            <w:r>
              <w:rPr>
                <w:sz w:val="18"/>
              </w:rPr>
              <w:t>Consumer → OpenAI API</w:t>
            </w:r>
          </w:p>
        </w:tc>
        <w:tc>
          <w:tcPr>
            <w:tcW w:type="dxa" w:w="3024"/>
            <w:shd w:val="clear" w:color="auto" w:fill="EBF3FB"/>
          </w:tcPr>
          <w:p>
            <w:r>
              <w:rPr>
                <w:sz w:val="18"/>
              </w:rPr>
              <w:t>Structured JSON with value + confidence per field</w:t>
            </w:r>
          </w:p>
        </w:tc>
      </w:tr>
      <w:tr>
        <w:tc>
          <w:tcPr>
            <w:tcW w:type="dxa" w:w="432"/>
            <w:shd w:val="clear" w:color="auto" w:fill="FFFFFF"/>
          </w:tcPr>
          <w:p>
            <w:r>
              <w:rPr>
                <w:sz w:val="18"/>
              </w:rPr>
              <w:t>6</w:t>
            </w:r>
          </w:p>
        </w:tc>
        <w:tc>
          <w:tcPr>
            <w:tcW w:type="dxa" w:w="3600"/>
            <w:shd w:val="clear" w:color="auto" w:fill="FFFFFF"/>
          </w:tcPr>
          <w:p>
            <w:r>
              <w:rPr>
                <w:sz w:val="18"/>
              </w:rPr>
              <w:t>ExtractionResult saved</w:t>
            </w:r>
          </w:p>
        </w:tc>
        <w:tc>
          <w:tcPr>
            <w:tcW w:type="dxa" w:w="2880"/>
            <w:shd w:val="clear" w:color="auto" w:fill="FFFFFF"/>
          </w:tcPr>
          <w:p>
            <w:r>
              <w:rPr>
                <w:sz w:val="18"/>
              </w:rPr>
              <w:t>Consumer → SQLite</w:t>
            </w:r>
          </w:p>
        </w:tc>
        <w:tc>
          <w:tcPr>
            <w:tcW w:type="dxa" w:w="3024"/>
            <w:shd w:val="clear" w:color="auto" w:fill="FFFFFF"/>
          </w:tcPr>
          <w:p>
            <w:r>
              <w:rPr>
                <w:sz w:val="18"/>
              </w:rPr>
              <w:t>Document: EXTRACTED  |  SQLite</w:t>
            </w:r>
          </w:p>
        </w:tc>
      </w:tr>
      <w:tr>
        <w:tc>
          <w:tcPr>
            <w:tcW w:type="dxa" w:w="432"/>
            <w:shd w:val="clear" w:color="auto" w:fill="EBF3FB"/>
          </w:tcPr>
          <w:p>
            <w:r>
              <w:rPr>
                <w:sz w:val="18"/>
              </w:rPr>
              <w:t>7</w:t>
            </w:r>
          </w:p>
        </w:tc>
        <w:tc>
          <w:tcPr>
            <w:tcW w:type="dxa" w:w="3600"/>
            <w:shd w:val="clear" w:color="auto" w:fill="EBF3FB"/>
          </w:tcPr>
          <w:p>
            <w:r>
              <w:rPr>
                <w:sz w:val="18"/>
              </w:rPr>
              <w:t>Kafka offset committed</w:t>
            </w:r>
          </w:p>
        </w:tc>
        <w:tc>
          <w:tcPr>
            <w:tcW w:type="dxa" w:w="2880"/>
            <w:shd w:val="clear" w:color="auto" w:fill="EBF3FB"/>
          </w:tcPr>
          <w:p>
            <w:r>
              <w:rPr>
                <w:sz w:val="18"/>
              </w:rPr>
              <w:t>Consumer → Kafka</w:t>
            </w:r>
          </w:p>
        </w:tc>
        <w:tc>
          <w:tcPr>
            <w:tcW w:type="dxa" w:w="3024"/>
            <w:shd w:val="clear" w:color="auto" w:fill="EBF3FB"/>
          </w:tcPr>
          <w:p>
            <w:r>
              <w:rPr>
                <w:sz w:val="18"/>
              </w:rPr>
              <w:t>Message acknowledged — no reprocessing</w:t>
            </w:r>
          </w:p>
        </w:tc>
      </w:tr>
      <w:tr>
        <w:tc>
          <w:tcPr>
            <w:tcW w:type="dxa" w:w="432"/>
            <w:shd w:val="clear" w:color="auto" w:fill="FFFFFF"/>
          </w:tcPr>
          <w:p>
            <w:r>
              <w:rPr>
                <w:sz w:val="18"/>
              </w:rPr>
              <w:t>8</w:t>
            </w:r>
          </w:p>
        </w:tc>
        <w:tc>
          <w:tcPr>
            <w:tcW w:type="dxa" w:w="3600"/>
            <w:shd w:val="clear" w:color="auto" w:fill="FFFFFF"/>
          </w:tcPr>
          <w:p>
            <w:r>
              <w:rPr>
                <w:sz w:val="18"/>
              </w:rPr>
              <w:t>Admin triggers verification</w:t>
            </w:r>
          </w:p>
        </w:tc>
        <w:tc>
          <w:tcPr>
            <w:tcW w:type="dxa" w:w="2880"/>
            <w:shd w:val="clear" w:color="auto" w:fill="FFFFFF"/>
          </w:tcPr>
          <w:p>
            <w:r>
              <w:rPr>
                <w:sz w:val="18"/>
              </w:rPr>
              <w:t>Streamlit → Spring Boot</w:t>
            </w:r>
          </w:p>
        </w:tc>
        <w:tc>
          <w:tcPr>
            <w:tcW w:type="dxa" w:w="3024"/>
            <w:shd w:val="clear" w:color="auto" w:fill="FFFFFF"/>
          </w:tcPr>
          <w:p>
            <w:r>
              <w:rPr>
                <w:sz w:val="18"/>
              </w:rPr>
              <w:t>Application: UNDER_REVIEW  |  H2</w:t>
            </w:r>
          </w:p>
        </w:tc>
      </w:tr>
      <w:tr>
        <w:tc>
          <w:tcPr>
            <w:tcW w:type="dxa" w:w="432"/>
            <w:shd w:val="clear" w:color="auto" w:fill="EBF3FB"/>
          </w:tcPr>
          <w:p>
            <w:r>
              <w:rPr>
                <w:sz w:val="18"/>
              </w:rPr>
              <w:t>9</w:t>
            </w:r>
          </w:p>
        </w:tc>
        <w:tc>
          <w:tcPr>
            <w:tcW w:type="dxa" w:w="3600"/>
            <w:shd w:val="clear" w:color="auto" w:fill="EBF3FB"/>
          </w:tcPr>
          <w:p>
            <w:r>
              <w:rPr>
                <w:sz w:val="18"/>
              </w:rPr>
              <w:t>Spring Boot calls FastAPI</w:t>
            </w:r>
          </w:p>
        </w:tc>
        <w:tc>
          <w:tcPr>
            <w:tcW w:type="dxa" w:w="2880"/>
            <w:shd w:val="clear" w:color="auto" w:fill="EBF3FB"/>
          </w:tcPr>
          <w:p>
            <w:r>
              <w:rPr>
                <w:sz w:val="18"/>
              </w:rPr>
              <w:t>Spring Boot → FastAPI</w:t>
            </w:r>
          </w:p>
        </w:tc>
        <w:tc>
          <w:tcPr>
            <w:tcW w:type="dxa" w:w="3024"/>
            <w:shd w:val="clear" w:color="auto" w:fill="EBF3FB"/>
          </w:tcPr>
          <w:p>
            <w:r>
              <w:rPr>
                <w:sz w:val="18"/>
              </w:rPr>
              <w:t>Background validation task queued</w:t>
            </w:r>
          </w:p>
        </w:tc>
      </w:tr>
      <w:tr>
        <w:tc>
          <w:tcPr>
            <w:tcW w:type="dxa" w:w="432"/>
            <w:shd w:val="clear" w:color="auto" w:fill="FFFFFF"/>
          </w:tcPr>
          <w:p>
            <w:r>
              <w:rPr>
                <w:sz w:val="18"/>
              </w:rPr>
              <w:t>10</w:t>
            </w:r>
          </w:p>
        </w:tc>
        <w:tc>
          <w:tcPr>
            <w:tcW w:type="dxa" w:w="3600"/>
            <w:shd w:val="clear" w:color="auto" w:fill="FFFFFF"/>
          </w:tcPr>
          <w:p>
            <w:r>
              <w:rPr>
                <w:sz w:val="18"/>
              </w:rPr>
              <w:t>22+ validation checks run</w:t>
            </w:r>
          </w:p>
        </w:tc>
        <w:tc>
          <w:tcPr>
            <w:tcW w:type="dxa" w:w="2880"/>
            <w:shd w:val="clear" w:color="auto" w:fill="FFFFFF"/>
          </w:tcPr>
          <w:p>
            <w:r>
              <w:rPr>
                <w:sz w:val="18"/>
              </w:rPr>
              <w:t>FastAPI (background)</w:t>
            </w:r>
          </w:p>
        </w:tc>
        <w:tc>
          <w:tcPr>
            <w:tcW w:type="dxa" w:w="3024"/>
            <w:shd w:val="clear" w:color="auto" w:fill="FFFFFF"/>
          </w:tcPr>
          <w:p>
            <w:r>
              <w:rPr>
                <w:sz w:val="18"/>
              </w:rPr>
              <w:t>Checks: PASS / FAIL / WARNING</w:t>
            </w:r>
          </w:p>
        </w:tc>
      </w:tr>
      <w:tr>
        <w:tc>
          <w:tcPr>
            <w:tcW w:type="dxa" w:w="432"/>
            <w:shd w:val="clear" w:color="auto" w:fill="EBF3FB"/>
          </w:tcPr>
          <w:p>
            <w:r>
              <w:rPr>
                <w:sz w:val="18"/>
              </w:rPr>
              <w:t>11</w:t>
            </w:r>
          </w:p>
        </w:tc>
        <w:tc>
          <w:tcPr>
            <w:tcW w:type="dxa" w:w="3600"/>
            <w:shd w:val="clear" w:color="auto" w:fill="EBF3FB"/>
          </w:tcPr>
          <w:p>
            <w:r>
              <w:rPr>
                <w:sz w:val="18"/>
              </w:rPr>
              <w:t>RAG eligibility check</w:t>
            </w:r>
          </w:p>
        </w:tc>
        <w:tc>
          <w:tcPr>
            <w:tcW w:type="dxa" w:w="2880"/>
            <w:shd w:val="clear" w:color="auto" w:fill="EBF3FB"/>
          </w:tcPr>
          <w:p>
            <w:r>
              <w:rPr>
                <w:sz w:val="18"/>
              </w:rPr>
              <w:t>FastAPI → Qdrant → OpenAI</w:t>
            </w:r>
          </w:p>
        </w:tc>
        <w:tc>
          <w:tcPr>
            <w:tcW w:type="dxa" w:w="3024"/>
            <w:shd w:val="clear" w:color="auto" w:fill="EBF3FB"/>
          </w:tcPr>
          <w:p>
            <w:r>
              <w:rPr>
                <w:sz w:val="18"/>
              </w:rPr>
              <w:t>rag_eligibility_check appended</w:t>
            </w:r>
          </w:p>
        </w:tc>
      </w:tr>
      <w:tr>
        <w:tc>
          <w:tcPr>
            <w:tcW w:type="dxa" w:w="432"/>
            <w:shd w:val="clear" w:color="auto" w:fill="FFFFFF"/>
          </w:tcPr>
          <w:p>
            <w:r>
              <w:rPr>
                <w:sz w:val="18"/>
              </w:rPr>
              <w:t>12</w:t>
            </w:r>
          </w:p>
        </w:tc>
        <w:tc>
          <w:tcPr>
            <w:tcW w:type="dxa" w:w="3600"/>
            <w:shd w:val="clear" w:color="auto" w:fill="FFFFFF"/>
          </w:tcPr>
          <w:p>
            <w:r>
              <w:rPr>
                <w:sz w:val="18"/>
              </w:rPr>
              <w:t>ValidationResult saved</w:t>
            </w:r>
          </w:p>
        </w:tc>
        <w:tc>
          <w:tcPr>
            <w:tcW w:type="dxa" w:w="2880"/>
            <w:shd w:val="clear" w:color="auto" w:fill="FFFFFF"/>
          </w:tcPr>
          <w:p>
            <w:r>
              <w:rPr>
                <w:sz w:val="18"/>
              </w:rPr>
              <w:t>FastAPI → SQLite</w:t>
            </w:r>
          </w:p>
        </w:tc>
        <w:tc>
          <w:tcPr>
            <w:tcW w:type="dxa" w:w="3024"/>
            <w:shd w:val="clear" w:color="auto" w:fill="FFFFFF"/>
          </w:tcPr>
          <w:p>
            <w:r>
              <w:rPr>
                <w:sz w:val="18"/>
              </w:rPr>
              <w:t>Decision: APPROVED / REJECTED</w:t>
            </w:r>
          </w:p>
        </w:tc>
      </w:tr>
      <w:tr>
        <w:tc>
          <w:tcPr>
            <w:tcW w:type="dxa" w:w="432"/>
            <w:shd w:val="clear" w:color="auto" w:fill="EBF3FB"/>
          </w:tcPr>
          <w:p>
            <w:r>
              <w:rPr>
                <w:sz w:val="18"/>
              </w:rPr>
              <w:t>13</w:t>
            </w:r>
          </w:p>
        </w:tc>
        <w:tc>
          <w:tcPr>
            <w:tcW w:type="dxa" w:w="3600"/>
            <w:shd w:val="clear" w:color="auto" w:fill="EBF3FB"/>
          </w:tcPr>
          <w:p>
            <w:r>
              <w:rPr>
                <w:sz w:val="18"/>
              </w:rPr>
              <w:t>Spring Boot callback</w:t>
            </w:r>
          </w:p>
        </w:tc>
        <w:tc>
          <w:tcPr>
            <w:tcW w:type="dxa" w:w="2880"/>
            <w:shd w:val="clear" w:color="auto" w:fill="EBF3FB"/>
          </w:tcPr>
          <w:p>
            <w:r>
              <w:rPr>
                <w:sz w:val="18"/>
              </w:rPr>
              <w:t>FastAPI → Spring Boot</w:t>
            </w:r>
          </w:p>
        </w:tc>
        <w:tc>
          <w:tcPr>
            <w:tcW w:type="dxa" w:w="3024"/>
            <w:shd w:val="clear" w:color="auto" w:fill="EBF3FB"/>
          </w:tcPr>
          <w:p>
            <w:r>
              <w:rPr>
                <w:sz w:val="18"/>
              </w:rPr>
              <w:t>Application: COMPLETED / REJECTED  |  H2</w:t>
            </w:r>
          </w:p>
        </w:tc>
      </w:tr>
      <w:tr>
        <w:tc>
          <w:tcPr>
            <w:tcW w:type="dxa" w:w="432"/>
            <w:shd w:val="clear" w:color="auto" w:fill="FFFFFF"/>
          </w:tcPr>
          <w:p>
            <w:r>
              <w:rPr>
                <w:sz w:val="18"/>
              </w:rPr>
              <w:t>14</w:t>
            </w:r>
          </w:p>
        </w:tc>
        <w:tc>
          <w:tcPr>
            <w:tcW w:type="dxa" w:w="3600"/>
            <w:shd w:val="clear" w:color="auto" w:fill="FFFFFF"/>
          </w:tcPr>
          <w:p>
            <w:r>
              <w:rPr>
                <w:sz w:val="18"/>
              </w:rPr>
              <w:t>Admin views full report</w:t>
            </w:r>
          </w:p>
        </w:tc>
        <w:tc>
          <w:tcPr>
            <w:tcW w:type="dxa" w:w="2880"/>
            <w:shd w:val="clear" w:color="auto" w:fill="FFFFFF"/>
          </w:tcPr>
          <w:p>
            <w:r>
              <w:rPr>
                <w:sz w:val="18"/>
              </w:rPr>
              <w:t>Streamlit → FastAPI</w:t>
            </w:r>
          </w:p>
        </w:tc>
        <w:tc>
          <w:tcPr>
            <w:tcW w:type="dxa" w:w="3024"/>
            <w:shd w:val="clear" w:color="auto" w:fill="FFFFFF"/>
          </w:tcPr>
          <w:p>
            <w:r>
              <w:rPr>
                <w:sz w:val="18"/>
              </w:rPr>
              <w:t>All checks + extracted data displayed</w:t>
            </w:r>
          </w:p>
        </w:tc>
      </w:tr>
    </w:tbl>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