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resumen"/>
      <w:r>
        <w:t xml:space="preserve">Resumen</w:t>
      </w:r>
      <w:bookmarkEnd w:id="20"/>
    </w:p>
    <w:p>
      <w:pPr>
        <w:pStyle w:val="FirstParagraph"/>
      </w:pPr>
      <w:r>
        <w:t xml:space="preserve">Se modela mediante el uso del SCREEN3 las oncentraciones de óxidos de nitrogeno [NOx] emitidas por la chimenea del emprendimiento XXXX.</w:t>
      </w:r>
    </w:p>
    <w:p>
      <w:pPr>
        <w:pStyle w:val="BodyText"/>
      </w:pPr>
      <w:r>
        <w:t xml:space="preserve">Los resultados del modelo se comparan con los estándares de calidad de aire fijados por la norma XXX correspondiente a la autoridad de aplicación ambiental de la jurisdicción del establecimiento.</w:t>
      </w:r>
    </w:p>
    <w:p>
      <w:pPr>
        <w:pStyle w:val="BodyText"/>
      </w:pPr>
      <w:r>
        <w:t xml:space="preserve">Se verifica que en ninguno de los receptores analizados, se superan las concentraciones límites reguladas.</w:t>
      </w:r>
      <w:r>
        <w:t xml:space="preserve"> </w:t>
      </w:r>
      <w:r>
        <w:t xml:space="preserve">(Se identifica que en X de los receptores analizados, se superan las concentraciones límites reguladas en un X% como máximo, detallando su ubicación en el punto de resultados.)</w:t>
      </w:r>
    </w:p>
    <w:p>
      <w:pPr>
        <w:pStyle w:val="Heading2"/>
      </w:pPr>
      <w:bookmarkStart w:id="21" w:name="introducción"/>
      <w:r>
        <w:t xml:space="preserve">1. Introducción</w:t>
      </w:r>
      <w:bookmarkEnd w:id="21"/>
    </w:p>
    <w:p>
      <w:pPr>
        <w:pStyle w:val="Heading3"/>
      </w:pPr>
      <w:bookmarkStart w:id="22" w:name="objetivo"/>
      <w:r>
        <w:t xml:space="preserve">Objetivo</w:t>
      </w:r>
      <w:bookmarkEnd w:id="22"/>
    </w:p>
    <w:p>
      <w:pPr>
        <w:pStyle w:val="FirstParagraph"/>
      </w:pPr>
      <w:r>
        <w:t xml:space="preserve">A efectos de controlar las emisiones gaseosas y su impacto asociado, se realiza mediante modelación matemática la simulación del comportamiento de los contaminantes en la atmósfera para los efluentes gaseosos del emprendimiento XXXX ubicado en XXXXXX, provincia de XXXXX.</w:t>
      </w:r>
      <w:r>
        <w:t xml:space="preserve"> </w:t>
      </w:r>
      <w:r>
        <w:t xml:space="preserve">El presente estudio tiene como objeto relacionar la emisión de una fuente gaseosa y la calidad del aire ambiente resultante conforme a los métodos planteados en la norma XXXX del organismo regulador XXXXX.</w:t>
      </w:r>
    </w:p>
    <w:p>
      <w:pPr>
        <w:pStyle w:val="Heading3"/>
      </w:pPr>
      <w:bookmarkStart w:id="23" w:name="descripción-y-justificación-del-modelo"/>
      <w:r>
        <w:t xml:space="preserve">Descripción y justificación del modelo</w:t>
      </w:r>
      <w:bookmarkEnd w:id="23"/>
    </w:p>
    <w:p>
      <w:pPr>
        <w:pStyle w:val="FirstParagraph"/>
      </w:pPr>
      <w:r>
        <w:t xml:space="preserve">Para el presente estudio se selecciona el modelo SCREEN3 de la Agencia de Protección Ambiental de los Estados Unidos (US-EPA).</w:t>
      </w:r>
    </w:p>
    <w:p>
      <w:pPr>
        <w:pStyle w:val="BodyText"/>
      </w:pPr>
      <w:r>
        <w:t xml:space="preserve">SCREEN3 es un modelo de pluma gaussiana para fuente simple, que estima la maxima concentración a nivel del suelo producida por fuentes puntuales, de area, antorhas, ó fuentes de volumen, asi como las concentración en cavidades producidas por el flujo alrededor de edificios y en zonas de inversión por fumigación costera.</w:t>
      </w:r>
    </w:p>
    <w:p>
      <w:pPr>
        <w:pStyle w:val="BodyText"/>
      </w:pPr>
      <w:r>
        <w:t xml:space="preserve">El SCREEN3 es la versión de sondeo del modelo de detalle ISC3 y al momento de la realización de este estudio, la US-EPA lo tiene en su lista de modelos de sondeo recomendados. El programa así como el código fuente y casos de estudio están disponible para acceso público en el repositorio web de la</w:t>
      </w:r>
      <w:r>
        <w:t xml:space="preserve"> </w:t>
      </w:r>
      <w:hyperlink r:id="rId24">
        <w:r>
          <w:rPr>
            <w:rStyle w:val="Hyperlink"/>
          </w:rPr>
          <w:t xml:space="preserve">US-EPA 3</w:t>
        </w:r>
      </w:hyperlink>
      <w:r>
        <w:t xml:space="preserve">.</w:t>
      </w:r>
    </w:p>
    <w:p>
      <w:pPr>
        <w:pStyle w:val="Heading3"/>
      </w:pPr>
      <w:bookmarkStart w:id="25" w:name="sitio-de-estudio"/>
      <w:r>
        <w:t xml:space="preserve">Sitio de estudio</w:t>
      </w:r>
      <w:bookmarkEnd w:id="25"/>
    </w:p>
    <w:p>
      <w:pPr>
        <w:pStyle w:val="FirstParagraph"/>
      </w:pPr>
      <w:r>
        <w:t xml:space="preserve">La fuente de emisión corresponde al proceso de XXXXXX del predio ubicado en el partido de XXXXX, en las coordenadas latitud -XX.XX longitud -XX.XX .</w:t>
      </w:r>
    </w:p>
    <w:p>
      <w:pPr>
        <w:pStyle w:val="CaptionedFigure"/>
      </w:pPr>
      <w:r>
        <w:drawing>
          <wp:inline>
            <wp:extent cx="5334000" cy="3486951"/>
            <wp:effectExtent b="0" l="0" r="0" t="0"/>
            <wp:docPr descr="./imgs/mapa_sitio.png" title="" id="1" name="Picture"/>
            <a:graphic>
              <a:graphicData uri="http://schemas.openxmlformats.org/drawingml/2006/picture">
                <pic:pic>
                  <pic:nvPicPr>
                    <pic:cNvPr descr="imgs/mapa_siti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6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./imgs/mapa_sitio.png</w:t>
      </w:r>
    </w:p>
    <w:p>
      <w:pPr>
        <w:pStyle w:val="BodyText"/>
      </w:pPr>
      <w:r>
        <w:rPr>
          <w:b/>
        </w:rPr>
        <w:t xml:space="preserve">Figura 1.</w:t>
      </w:r>
      <w:r>
        <w:t xml:space="preserve"> </w:t>
      </w:r>
      <w:r>
        <w:t xml:space="preserve">Ubicación del proyecto de estudio.</w:t>
      </w:r>
    </w:p>
    <w:p>
      <w:pPr>
        <w:pStyle w:val="Heading3"/>
      </w:pPr>
      <w:bookmarkStart w:id="27" w:name="características-de-fuentes-emisoras"/>
      <w:r>
        <w:t xml:space="preserve">Características de fuentes emisoras</w:t>
      </w:r>
      <w:bookmarkEnd w:id="27"/>
    </w:p>
    <w:p>
      <w:pPr>
        <w:pStyle w:val="FirstParagraph"/>
      </w:pPr>
      <w:r>
        <w:t xml:space="preserve">A continuación se resumen las careacterísticas de las fuentes de emision consideradas en el modelo.</w:t>
      </w:r>
    </w:p>
    <w:tbl>
      <w:tblPr>
        <w:tblStyle w:val="Table"/>
        <w:tblW w:type="pct" w:w="4999.999999999999"/>
        <w:tblLook w:firstRow="1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 [m utm 21]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 [m utm 21]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Altutud [msnm]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Altura del conducto [m]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Diámetro del conducto [m]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C1</w:t>
            </w:r>
          </w:p>
        </w:tc>
        <w:tc>
          <w:p>
            <w:pPr>
              <w:pStyle w:val="Compact"/>
              <w:jc w:val="left"/>
            </w:pPr>
            <w:r>
              <w:t xml:space="preserve">XXXX.XX</w:t>
            </w:r>
          </w:p>
        </w:tc>
        <w:tc>
          <w:p>
            <w:pPr>
              <w:pStyle w:val="Compact"/>
              <w:jc w:val="left"/>
            </w:pPr>
            <w:r>
              <w:t xml:space="preserve">XXXXX.XX</w:t>
            </w:r>
          </w:p>
        </w:tc>
        <w:tc>
          <w:p>
            <w:pPr>
              <w:pStyle w:val="Compact"/>
              <w:jc w:val="left"/>
            </w:pPr>
            <w:r>
              <w:t xml:space="preserve">XX.X</w:t>
            </w:r>
          </w:p>
        </w:tc>
        <w:tc>
          <w:p>
            <w:pPr>
              <w:pStyle w:val="Compact"/>
              <w:jc w:val="left"/>
            </w:pPr>
            <w:r>
              <w:t xml:space="preserve">10.0</w:t>
            </w:r>
          </w:p>
        </w:tc>
        <w:tc>
          <w:p>
            <w:pPr>
              <w:pStyle w:val="Compact"/>
              <w:jc w:val="left"/>
            </w:pPr>
            <w:r>
              <w:t xml:space="preserve">1.0</w:t>
            </w:r>
          </w:p>
        </w:tc>
      </w:tr>
    </w:tbl>
    <w:p>
      <w:pPr>
        <w:pStyle w:val="BodyText"/>
      </w:pPr>
      <w:r>
        <w:rPr>
          <w:b/>
        </w:rPr>
        <w:t xml:space="preserve">Tabla 1.</w:t>
      </w:r>
      <w:r>
        <w:t xml:space="preserve"> </w:t>
      </w:r>
      <w:r>
        <w:t xml:space="preserve">Caracteristicas de los conductos emisores.</w:t>
      </w:r>
    </w:p>
    <w:p>
      <w:pPr>
        <w:pStyle w:val="BodyText"/>
      </w:pPr>
      <w:r>
        <w:t xml:space="preserve">A continuación se resumen los parámetros de emision.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Analito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Temperatura [ºC]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Velocidad [m/s]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Caudal másico [g/s]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NOx</w:t>
            </w:r>
          </w:p>
        </w:tc>
        <w:tc>
          <w:p>
            <w:pPr>
              <w:pStyle w:val="Compact"/>
              <w:jc w:val="left"/>
            </w:pPr>
            <w:r>
              <w:t xml:space="preserve">C1</w:t>
            </w:r>
          </w:p>
        </w:tc>
        <w:tc>
          <w:p>
            <w:pPr>
              <w:pStyle w:val="Compact"/>
              <w:jc w:val="left"/>
            </w:pPr>
            <w:r>
              <w:t xml:space="preserve">POINT</w:t>
            </w:r>
          </w:p>
        </w:tc>
        <w:tc>
          <w:p>
            <w:pPr>
              <w:pStyle w:val="Compact"/>
              <w:jc w:val="left"/>
            </w:pPr>
            <w:r>
              <w:t xml:space="preserve">320.0</w:t>
            </w:r>
          </w:p>
        </w:tc>
        <w:tc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p>
            <w:pPr>
              <w:pStyle w:val="Compact"/>
              <w:jc w:val="left"/>
            </w:pPr>
            <w:r>
              <w:t xml:space="preserve">1.00e-3</w:t>
            </w:r>
          </w:p>
        </w:tc>
      </w:tr>
    </w:tbl>
    <w:p>
      <w:pPr>
        <w:pStyle w:val="BodyText"/>
      </w:pPr>
      <w:r>
        <w:rPr>
          <w:b/>
        </w:rPr>
        <w:t xml:space="preserve">Tabla 2.</w:t>
      </w:r>
      <w:r>
        <w:t xml:space="preserve"> </w:t>
      </w:r>
      <w:r>
        <w:t xml:space="preserve">Parámetro de emision para cada conducto y analíto.</w:t>
      </w:r>
    </w:p>
    <w:p>
      <w:pPr>
        <w:pStyle w:val="Heading3"/>
      </w:pPr>
      <w:bookmarkStart w:id="28" w:name="datos-meteorológicos"/>
      <w:r>
        <w:t xml:space="preserve">Datos meteorológicos</w:t>
      </w:r>
      <w:bookmarkEnd w:id="28"/>
    </w:p>
    <w:p>
      <w:pPr>
        <w:pStyle w:val="FirstParagraph"/>
      </w:pPr>
      <w:r>
        <w:t xml:space="preserve">La información meteorológica de superficie y sondeos verticales necesaria para la ejecución del modelo fue extraída de la base de datos de observaciones del Servicio Meteorológico Nacional (SMN), se representa su ubicación respecto a las fuentes en el [Anexo 7].</w:t>
      </w:r>
    </w:p>
    <w:p>
      <w:pPr>
        <w:pStyle w:val="BodyText"/>
      </w:pPr>
      <w:r>
        <w:t xml:space="preserve">Se utilizó la siguiente estación de observación: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Nombre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Provincia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Latitud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Longitud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Altitud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 (WMO)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 (ASCII)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NOx</w:t>
            </w:r>
          </w:p>
        </w:tc>
        <w:tc>
          <w:p>
            <w:pPr>
              <w:pStyle w:val="Compact"/>
              <w:jc w:val="left"/>
            </w:pPr>
            <w:r>
              <w:t xml:space="preserve">XXXXX XXXX</w:t>
            </w:r>
          </w:p>
        </w:tc>
        <w:tc>
          <w:p>
            <w:pPr>
              <w:pStyle w:val="Compact"/>
              <w:jc w:val="left"/>
            </w:pPr>
            <w:r>
              <w:t xml:space="preserve">XX.XX</w:t>
            </w:r>
          </w:p>
        </w:tc>
        <w:tc>
          <w:p>
            <w:pPr>
              <w:pStyle w:val="Compact"/>
              <w:jc w:val="left"/>
            </w:pPr>
            <w:r>
              <w:t xml:space="preserve">XX.XX</w:t>
            </w:r>
          </w:p>
        </w:tc>
        <w:tc>
          <w:p>
            <w:pPr>
              <w:pStyle w:val="Compact"/>
              <w:jc w:val="left"/>
            </w:pPr>
            <w:r>
              <w:t xml:space="preserve">X.X</w:t>
            </w:r>
          </w:p>
        </w:tc>
        <w:tc>
          <w:p>
            <w:pPr>
              <w:pStyle w:val="Compact"/>
              <w:jc w:val="left"/>
            </w:pPr>
            <w:r>
              <w:t xml:space="preserve">XXXXXXX</w:t>
            </w:r>
          </w:p>
        </w:tc>
        <w:tc>
          <w:p>
            <w:pPr>
              <w:pStyle w:val="Compact"/>
              <w:jc w:val="left"/>
            </w:pPr>
            <w:r>
              <w:t xml:space="preserve">XXXXXXXXX</w:t>
            </w:r>
          </w:p>
        </w:tc>
      </w:tr>
    </w:tbl>
    <w:p>
      <w:pPr>
        <w:pStyle w:val="BodyText"/>
      </w:pPr>
      <w:r>
        <w:rPr>
          <w:b/>
        </w:rPr>
        <w:t xml:space="preserve">Tabla 3.</w:t>
      </w:r>
      <w:r>
        <w:t xml:space="preserve"> </w:t>
      </w:r>
      <w:r>
        <w:t xml:space="preserve">Estación meteorológica utilizada.</w:t>
      </w:r>
    </w:p>
    <w:p>
      <w:pPr>
        <w:pStyle w:val="Heading2"/>
      </w:pPr>
      <w:bookmarkStart w:id="29" w:name="configuración-del-modelo"/>
      <w:r>
        <w:t xml:space="preserve">2. Configuración del modelo</w:t>
      </w:r>
      <w:bookmarkEnd w:id="29"/>
    </w:p>
    <w:p>
      <w:pPr>
        <w:pStyle w:val="FirstParagraph"/>
      </w:pPr>
      <w:r>
        <w:t xml:space="preserve">Explicitar las opciones (indicando palabras clave) utilizadas en cada modelado.</w:t>
      </w:r>
    </w:p>
    <w:p>
      <w:pPr>
        <w:pStyle w:val="Heading3"/>
      </w:pPr>
      <w:bookmarkStart w:id="30" w:name="escenarios-modelados"/>
      <w:r>
        <w:t xml:space="preserve">Escenarios modelados</w:t>
      </w:r>
      <w:bookmarkEnd w:id="30"/>
    </w:p>
    <w:p>
      <w:pPr>
        <w:pStyle w:val="FirstParagraph"/>
      </w:pPr>
      <w:r>
        <w:t xml:space="preserve">Con el fin de considerar el peor escenario, se realizo una serie de calculos considerando distintas velocidades de viento y disintas clases de establidad:</w:t>
      </w:r>
    </w:p>
    <w:p>
      <w:pPr>
        <w:pStyle w:val="SourceCode"/>
      </w:pPr>
      <w:r>
        <w:rPr>
          <w:rStyle w:val="VerbatimChar"/>
        </w:rPr>
        <w:t xml:space="preserve">|     |       Velocidad del viento a 10m [m/s]            |</w:t>
      </w:r>
      <w:r>
        <w:br w:type="textWrapping"/>
      </w:r>
      <w:r>
        <w:rPr>
          <w:rStyle w:val="VerbatimChar"/>
        </w:rPr>
        <w:t xml:space="preserve">|Clase| 1 |1.5| 2 |2.5| 3 |3.5| 4 |4.5| 5 | 8 | 10| 15| 20|</w:t>
      </w:r>
      <w:r>
        <w:br w:type="textWrapping"/>
      </w:r>
      <w:r>
        <w:rPr>
          <w:rStyle w:val="VerbatimChar"/>
        </w:rPr>
        <w:t xml:space="preserve">|=====|===|===|===|===|===|===|===|===|===|===|===|===|===|</w:t>
      </w:r>
      <w:r>
        <w:br w:type="textWrapping"/>
      </w:r>
      <w:r>
        <w:rPr>
          <w:rStyle w:val="VerbatimChar"/>
        </w:rPr>
        <w:t xml:space="preserve">| A   | x | x | x | x | x |   |   |   |   |   |   |   |   |</w:t>
      </w:r>
      <w:r>
        <w:br w:type="textWrapping"/>
      </w:r>
      <w:r>
        <w:rPr>
          <w:rStyle w:val="VerbatimChar"/>
        </w:rPr>
        <w:t xml:space="preserve">| B   | x | x | x | x | x | x | x | x | x |   |   |   |   |</w:t>
      </w:r>
      <w:r>
        <w:br w:type="textWrapping"/>
      </w:r>
      <w:r>
        <w:rPr>
          <w:rStyle w:val="VerbatimChar"/>
        </w:rPr>
        <w:t xml:space="preserve">| C   | x | x | x | x | x | x | x | x | x | x | x |   |   |</w:t>
      </w:r>
      <w:r>
        <w:br w:type="textWrapping"/>
      </w:r>
      <w:r>
        <w:rPr>
          <w:rStyle w:val="VerbatimChar"/>
        </w:rPr>
        <w:t xml:space="preserve">| D   | x | x | x | x | x | x | x | x | x | x | x | x | x |</w:t>
      </w:r>
      <w:r>
        <w:br w:type="textWrapping"/>
      </w:r>
      <w:r>
        <w:rPr>
          <w:rStyle w:val="VerbatimChar"/>
        </w:rPr>
        <w:t xml:space="preserve">| E   | x | x | x | x | x | x | x | x | x |   |   |   |   |</w:t>
      </w:r>
      <w:r>
        <w:br w:type="textWrapping"/>
      </w:r>
      <w:r>
        <w:rPr>
          <w:rStyle w:val="VerbatimChar"/>
        </w:rPr>
        <w:t xml:space="preserve">| F   | x | x | x | x | x | x | x |   |   |   |   |   |   |</w:t>
      </w:r>
    </w:p>
    <w:p>
      <w:pPr>
        <w:pStyle w:val="FirstParagraph"/>
      </w:pPr>
      <w:r>
        <w:t xml:space="preserve">Ademas se considero un entorno URBANO, sin efecto de downwash ni de fumigación costera.</w:t>
      </w:r>
    </w:p>
    <w:p>
      <w:pPr>
        <w:pStyle w:val="Heading3"/>
      </w:pPr>
      <w:bookmarkStart w:id="31" w:name="grilla-de-receptores"/>
      <w:r>
        <w:t xml:space="preserve">Grilla de receptores</w:t>
      </w:r>
      <w:bookmarkEnd w:id="31"/>
    </w:p>
    <w:p>
      <w:pPr>
        <w:pStyle w:val="FirstParagraph"/>
      </w:pPr>
      <w:r>
        <w:t xml:space="preserve">Se considero una grilla de N receptores equiespaciados cada 50 metros desde los 100 metros hasta los 10000 metros desde la fuente emisora considerada.</w:t>
      </w:r>
    </w:p>
    <w:p>
      <w:pPr>
        <w:pStyle w:val="Heading3"/>
      </w:pPr>
      <w:bookmarkStart w:id="32" w:name="datos-meteorológicos-1"/>
      <w:r>
        <w:t xml:space="preserve">Datos meteorológicos</w:t>
      </w:r>
      <w:bookmarkEnd w:id="32"/>
    </w:p>
    <w:p>
      <w:pPr>
        <w:pStyle w:val="FirstParagraph"/>
      </w:pPr>
      <w:r>
        <w:t xml:space="preserve">Para representar las variables meteorológicas se utilizaron valores representativos de las siguientes variables: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Valor representativo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Estadístico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Periodo considerado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Temperatura ambiente</w:t>
            </w:r>
          </w:p>
        </w:tc>
        <w:tc>
          <w:p>
            <w:pPr>
              <w:pStyle w:val="Compact"/>
              <w:jc w:val="center"/>
            </w:pPr>
            <w:r>
              <w:t xml:space="preserve">XX.XX</w:t>
            </w:r>
          </w:p>
        </w:tc>
        <w:tc>
          <w:p>
            <w:pPr>
              <w:pStyle w:val="Compact"/>
              <w:jc w:val="left"/>
            </w:pPr>
            <w:r>
              <w:t xml:space="preserve">Promedio de la serie temporal</w:t>
            </w:r>
          </w:p>
        </w:tc>
        <w:tc>
          <w:p>
            <w:pPr>
              <w:pStyle w:val="Compact"/>
              <w:jc w:val="center"/>
            </w:pPr>
            <w:r>
              <w:t xml:space="preserve">20XX-20XY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Dirección del viento</w:t>
            </w:r>
          </w:p>
        </w:tc>
        <w:tc>
          <w:p>
            <w:pPr>
              <w:pStyle w:val="Compact"/>
              <w:jc w:val="center"/>
            </w:pPr>
            <w:r>
              <w:t xml:space="preserve">XX.XX</w:t>
            </w:r>
          </w:p>
        </w:tc>
        <w:tc>
          <w:p>
            <w:pPr>
              <w:pStyle w:val="Compact"/>
              <w:jc w:val="left"/>
            </w:pPr>
            <w:r>
              <w:t xml:space="preserve">Moda de la serie temporal</w:t>
            </w:r>
          </w:p>
        </w:tc>
        <w:tc>
          <w:p>
            <w:pPr>
              <w:pStyle w:val="Compact"/>
              <w:jc w:val="center"/>
            </w:pPr>
            <w:r>
              <w:t xml:space="preserve">20XX-20XY</w:t>
            </w:r>
          </w:p>
        </w:tc>
      </w:tr>
    </w:tbl>
    <w:p>
      <w:pPr>
        <w:pStyle w:val="BodyText"/>
      </w:pPr>
      <w:r>
        <w:rPr>
          <w:b/>
        </w:rPr>
        <w:t xml:space="preserve">Tabla 4.</w:t>
      </w:r>
      <w:r>
        <w:t xml:space="preserve"> </w:t>
      </w:r>
      <w:r>
        <w:t xml:space="preserve">Valores de variables meteorológicas utilizados especificando calculo usado, y periodo considerado.</w:t>
      </w:r>
    </w:p>
    <w:p>
      <w:pPr>
        <w:pStyle w:val="Heading2"/>
      </w:pPr>
      <w:bookmarkStart w:id="33" w:name="resultados"/>
      <w:r>
        <w:t xml:space="preserve">3. Resultados</w:t>
      </w:r>
      <w:bookmarkEnd w:id="33"/>
    </w:p>
    <w:p>
      <w:pPr>
        <w:pStyle w:val="Heading3"/>
      </w:pPr>
      <w:bookmarkStart w:id="34" w:name="tabla-de-concentraciones-máximas"/>
      <w:r>
        <w:t xml:space="preserve">Tabla de concentraciones máximas</w:t>
      </w:r>
      <w:bookmarkEnd w:id="34"/>
    </w:p>
    <w:p>
      <w:pPr>
        <w:pStyle w:val="FirstParagraph"/>
      </w:pPr>
      <w:r>
        <w:t xml:space="preserve">Resumir en una tabla la concentración máxima calculada, explicitando distancia a la fuente, altura y condiciones meteorológicas.</w:t>
      </w:r>
    </w:p>
    <w:p>
      <w:pPr>
        <w:pStyle w:val="Heading3"/>
      </w:pPr>
      <w:bookmarkStart w:id="35" w:name="X35cee3415369ec06dad324e83ff4cac46e190a0"/>
      <w:r>
        <w:t xml:space="preserve">Gráfico de concentración calculada en función de la distancia</w:t>
      </w:r>
      <w:bookmarkEnd w:id="35"/>
    </w:p>
    <w:p>
      <w:pPr>
        <w:pStyle w:val="FirstParagraph"/>
      </w:pPr>
      <w:r>
        <w:t xml:space="preserve">Representar en un gráfico la concentración calculada a nivel del receptor en función de la distancia a la fuente.</w:t>
      </w:r>
    </w:p>
    <w:p>
      <w:pPr>
        <w:pStyle w:val="CaptionedFigure"/>
      </w:pPr>
      <w:r>
        <w:drawing>
          <wp:inline>
            <wp:extent cx="5334000" cy="2222500"/>
            <wp:effectExtent b="0" l="0" r="0" t="0"/>
            <wp:docPr descr="./imgs/plot_screen3.png" title="" id="1" name="Picture"/>
            <a:graphic>
              <a:graphicData uri="http://schemas.openxmlformats.org/drawingml/2006/picture">
                <pic:pic>
                  <pic:nvPicPr>
                    <pic:cNvPr descr="imgs/plot_screen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./imgs/plot_screen3.png</w:t>
      </w:r>
    </w:p>
    <w:p>
      <w:pPr>
        <w:pStyle w:val="BodyText"/>
      </w:pPr>
      <w:r>
        <w:rPr>
          <w:b/>
        </w:rPr>
        <w:t xml:space="preserve">Figura 2.</w:t>
      </w:r>
      <w:r>
        <w:t xml:space="preserve"> </w:t>
      </w:r>
      <w:r>
        <w:t xml:space="preserve">Gráfico concentración vs distancia.</w:t>
      </w:r>
    </w:p>
    <w:p>
      <w:pPr>
        <w:pStyle w:val="Heading3"/>
      </w:pPr>
      <w:bookmarkStart w:id="37" w:name="receptor-de-máxima-concentración"/>
      <w:r>
        <w:t xml:space="preserve">Receptor de máxima concentración</w:t>
      </w:r>
      <w:bookmarkEnd w:id="37"/>
    </w:p>
    <w:p>
      <w:pPr>
        <w:pStyle w:val="FirstParagraph"/>
      </w:pPr>
      <w:r>
        <w:t xml:space="preserve">La máxima concentración encontrado fue a 100 metros de distancia del receptor, y el valor fue de 1.162. A continuación se muestra la salida del modelo:</w:t>
      </w:r>
    </w:p>
    <w:p>
      <w:pPr>
        <w:pStyle w:val="SourceCode"/>
      </w:pPr>
      <w:r>
        <w:rPr>
          <w:rStyle w:val="VerbatimChar"/>
        </w:rPr>
        <w:t xml:space="preserve">MAXIMUM 1-HR CONCENTRATION AT OR BEYOND   100. M:</w:t>
      </w:r>
      <w:r>
        <w:br w:type="textWrapping"/>
      </w:r>
      <w:r>
        <w:rPr>
          <w:rStyle w:val="VerbatimChar"/>
        </w:rPr>
        <w:t xml:space="preserve">100.    1.162        4     1.0    1.0   320.0    9.25   15.76   13.88    NO</w:t>
      </w:r>
    </w:p>
    <w:p>
      <w:pPr>
        <w:pStyle w:val="Heading3"/>
      </w:pPr>
      <w:bookmarkStart w:id="38" w:name="X92a140a5eeaaa462e6ce7ebf6b5120fd690315c"/>
      <w:r>
        <w:t xml:space="preserve">Comparación con estándares reglamentarios</w:t>
      </w:r>
      <w:bookmarkEnd w:id="38"/>
    </w:p>
    <w:p>
      <w:pPr>
        <w:pStyle w:val="FirstParagraph"/>
      </w:pPr>
      <w:r>
        <w:t xml:space="preserve">Se compararon los valores obtenidos del modelado con los estándares de calidad de aire para los compuestos considerados, los resultados se muestran a continuación:</w:t>
      </w:r>
    </w:p>
    <w:tbl>
      <w:tblPr>
        <w:tblStyle w:val="Table"/>
        <w:tblW w:type="pct" w:w="5000.0"/>
        <w:tblLook w:firstRow="1"/>
      </w:tblPr>
      <w:tblGrid>
        <w:gridCol w:w="742"/>
        <w:gridCol w:w="1402"/>
        <w:gridCol w:w="2475"/>
        <w:gridCol w:w="2227"/>
        <w:gridCol w:w="107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Analíto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Tiempo promedio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Concentración máxima [ug/m3]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Nivel regulatorio [ug/m3]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Observación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NOx</w:t>
            </w:r>
          </w:p>
        </w:tc>
        <w:tc>
          <w:p>
            <w:pPr>
              <w:pStyle w:val="Compact"/>
              <w:jc w:val="center"/>
            </w:pPr>
            <w:r>
              <w:t xml:space="preserve">1 hora</w:t>
            </w:r>
          </w:p>
        </w:tc>
        <w:tc>
          <w:p>
            <w:pPr>
              <w:pStyle w:val="Compact"/>
              <w:jc w:val="center"/>
            </w:pPr>
            <w:r>
              <w:t xml:space="preserve">1.162</w:t>
            </w:r>
          </w:p>
        </w:tc>
        <w:tc>
          <w:p>
            <w:pPr>
              <w:pStyle w:val="Compact"/>
              <w:jc w:val="center"/>
            </w:pPr>
            <w:r>
              <w:t xml:space="preserve">288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</w:tr>
    </w:tbl>
    <w:p>
      <w:pPr>
        <w:pStyle w:val="BodyText"/>
      </w:pPr>
      <w:r>
        <w:rPr>
          <w:b/>
        </w:rPr>
        <w:t xml:space="preserve">Tabla 5.</w:t>
      </w:r>
      <w:r>
        <w:t xml:space="preserve"> </w:t>
      </w:r>
      <w:r>
        <w:t xml:space="preserve">Comparación de resultados con normativa.</w:t>
      </w:r>
    </w:p>
    <w:p>
      <w:pPr>
        <w:pStyle w:val="Heading2"/>
      </w:pPr>
      <w:bookmarkStart w:id="39" w:name="conclusión"/>
      <w:r>
        <w:t xml:space="preserve">4. Conclusión</w:t>
      </w:r>
      <w:bookmarkEnd w:id="39"/>
    </w:p>
    <w:p>
      <w:pPr>
        <w:pStyle w:val="FirstParagraph"/>
      </w:pPr>
      <w:r>
        <w:t xml:space="preserve">Los resultados cumplen con los estándares vigentes al momento de realización del estudio, correspondiendo a la tabla X de la norma X evaluando la concentración máxima respecto de la concentración límite.</w:t>
      </w:r>
    </w:p>
    <w:p>
      <w:pPr>
        <w:pStyle w:val="Heading2"/>
      </w:pPr>
      <w:bookmarkStart w:id="40" w:name="bibliografía"/>
      <w:r>
        <w:t xml:space="preserve">Bibliografía</w:t>
      </w:r>
      <w:bookmarkEnd w:id="40"/>
    </w:p>
    <w:p>
      <w:pPr>
        <w:pStyle w:val="Compact"/>
        <w:numPr>
          <w:numId w:val="1001"/>
          <w:ilvl w:val="0"/>
        </w:numPr>
      </w:pPr>
      <w:r>
        <w:t xml:space="preserve">“</w:t>
      </w:r>
      <w:r>
        <w:t xml:space="preserve">SCREEN3 Model User’s Guide</w:t>
      </w:r>
      <w:r>
        <w:t xml:space="preserve">”</w:t>
      </w:r>
      <w:r>
        <w:t xml:space="preserve">. U.S EPA. EPA-454/B-95-004. September 1995.</w:t>
      </w:r>
    </w:p>
    <w:p>
      <w:pPr>
        <w:pStyle w:val="Compact"/>
        <w:numPr>
          <w:numId w:val="1001"/>
          <w:ilvl w:val="0"/>
        </w:numPr>
      </w:pPr>
      <w:r>
        <w:t xml:space="preserve">“</w:t>
      </w:r>
      <w:r>
        <w:t xml:space="preserve">Guía metodológica para la evaluación del impacto ambiental atmosférico</w:t>
      </w:r>
      <w:r>
        <w:t xml:space="preserve">”</w:t>
      </w:r>
      <w:r>
        <w:t xml:space="preserve">. Laura Dawidowski, Darío Gómez y Silvia Reich. Honorable Cámara de Diputados de La Nación.</w:t>
      </w:r>
    </w:p>
    <w:p>
      <w:pPr>
        <w:pStyle w:val="Compact"/>
        <w:numPr>
          <w:numId w:val="1001"/>
          <w:ilvl w:val="0"/>
        </w:numPr>
      </w:pPr>
      <w:r>
        <w:t xml:space="preserve">“</w:t>
      </w:r>
      <w:r>
        <w:t xml:space="preserve">Calidad del aire - Monitoreo y modelado de contaminantes atmosféricos. Efectos en la salud pública</w:t>
      </w:r>
      <w:r>
        <w:t xml:space="preserve">”</w:t>
      </w:r>
      <w:r>
        <w:t xml:space="preserve"> </w:t>
      </w:r>
      <w:r>
        <w:t xml:space="preserve">Porta, Andrés; Yanina Sanchez; Esteban Colman Lerner. UNLP, 2018.</w:t>
      </w:r>
      <w:r>
        <w:t xml:space="preserve"> </w:t>
      </w:r>
      <w:r>
        <w:t xml:space="preserve">Resolución 559-19 OPDS-Anexo III Instructivo para la aplicación de modelos de difusión atmosférica a efluentes gaseosos.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6" Target="media/rId36.png" /><Relationship Type="http://schemas.openxmlformats.org/officeDocument/2006/relationships/hyperlink" Id="rId24" Target="https://www.epa.gov/scram/air-quality-dispersion-modeling-screening-model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www.epa.gov/scram/air-quality-dispersion-modeling-screening-model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2022-06-11T12:39:49Z</dcterms:created>
  <dcterms:modified xsi:type="dcterms:W3CDTF">2022-06-11T12:39:49Z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