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276" w:lineRule="auto"/>
        <w:jc w:val="center"/>
      </w:pPr>
      <w:r>
        <w:rPr>
          <w:rFonts w:ascii="Times New Roman" w:hAnsi="Times New Roman"/>
          <w:b/>
          <w:color w:val="1E3A8A"/>
          <w:sz w:val="32"/>
        </w:rPr>
        <w:t>A Mini Project Report</w:t>
      </w:r>
    </w:p>
    <w:p>
      <w:pPr>
        <w:spacing w:before="0" w:after="120" w:line="276" w:lineRule="auto"/>
        <w:jc w:val="center"/>
      </w:pPr>
      <w:r>
        <w:rPr>
          <w:rFonts w:ascii="Times New Roman" w:hAnsi="Times New Roman"/>
          <w:b w:val="0"/>
          <w:color w:val="1E3A8A"/>
          <w:sz w:val="26"/>
        </w:rPr>
        <w:t>on</w:t>
      </w:r>
    </w:p>
    <w:p>
      <w:pPr>
        <w:spacing w:before="120" w:after="320" w:line="276" w:lineRule="auto"/>
        <w:jc w:val="center"/>
      </w:pPr>
      <w:r>
        <w:rPr>
          <w:rFonts w:ascii="Times New Roman" w:hAnsi="Times New Roman"/>
          <w:b/>
          <w:color w:val="1E3A8A"/>
          <w:sz w:val="36"/>
        </w:rPr>
        <w:t>CONCORD: AN EXPERIMENTAL STUDY OF AUTONOMOUS NEGOTIATION STRATEGIES BETWEEN LARGE LANGUAGE MODEL AGENTS</w:t>
      </w:r>
    </w:p>
    <w:p>
      <w:pPr>
        <w:spacing w:before="0" w:after="280" w:line="276" w:lineRule="auto"/>
        <w:jc w:val="center"/>
      </w:pPr>
      <w:r>
        <w:rPr>
          <w:rFonts w:ascii="Times New Roman" w:hAnsi="Times New Roman"/>
          <w:b w:val="0"/>
          <w:color w:val="334155"/>
          <w:sz w:val="24"/>
        </w:rPr>
        <w:t>Submitted in partial fulfillment of the requirement for the award of Degree of</w:t>
        <w:br/>
        <w:t>Bachelor of Technology in Computer Science &amp; Engineering</w:t>
      </w:r>
    </w:p>
    <w:p>
      <w:pPr>
        <w:spacing w:before="0" w:after="120" w:line="276" w:lineRule="auto"/>
        <w:jc w:val="center"/>
      </w:pPr>
      <w:r>
        <w:rPr>
          <w:rFonts w:ascii="Times New Roman" w:hAnsi="Times New Roman"/>
          <w:b/>
          <w:color w:val="0F172A"/>
          <w:sz w:val="24"/>
        </w:rPr>
        <w:t>Submitted to:</w:t>
      </w:r>
    </w:p>
    <w:p>
      <w:pPr>
        <w:spacing w:before="0" w:after="240" w:line="276" w:lineRule="auto"/>
        <w:jc w:val="center"/>
      </w:pPr>
      <w:r>
        <w:rPr>
          <w:rFonts w:ascii="Times New Roman" w:hAnsi="Times New Roman"/>
          <w:b/>
          <w:color w:val="1E3A8A"/>
          <w:sz w:val="26"/>
        </w:rPr>
        <w:t>RAJIV GANDHI PROUDYOGIKI VISHWAVIDYALAYA, BHOPAL (M.P.)</w:t>
      </w:r>
    </w:p>
    <w:p>
      <w:pPr>
        <w:spacing w:after="240"/>
        <w:jc w:val="center"/>
      </w:pPr>
      <w:r>
        <w:drawing>
          <wp:inline xmlns:a="http://schemas.openxmlformats.org/drawingml/2006/main" xmlns:pic="http://schemas.openxmlformats.org/drawingml/2006/picture">
            <wp:extent cx="1645920" cy="1651863"/>
            <wp:docPr id="1" name="Picture 1"/>
            <wp:cNvGraphicFramePr>
              <a:graphicFrameLocks noChangeAspect="1"/>
            </wp:cNvGraphicFramePr>
            <a:graphic>
              <a:graphicData uri="http://schemas.openxmlformats.org/drawingml/2006/picture">
                <pic:pic>
                  <pic:nvPicPr>
                    <pic:cNvPr id="0" name="dbms_image1.png"/>
                    <pic:cNvPicPr/>
                  </pic:nvPicPr>
                  <pic:blipFill>
                    <a:blip r:embed="rId9"/>
                    <a:stretch>
                      <a:fillRect/>
                    </a:stretch>
                  </pic:blipFill>
                  <pic:spPr>
                    <a:xfrm>
                      <a:off x="0" y="0"/>
                      <a:ext cx="1645920" cy="1651863"/>
                    </a:xfrm>
                    <a:prstGeom prst="rect"/>
                  </pic:spPr>
                </pic:pic>
              </a:graphicData>
            </a:graphic>
          </wp:inline>
        </w:drawing>
      </w:r>
    </w:p>
    <w:p>
      <w:pPr>
        <w:spacing w:before="0" w:after="120" w:line="276" w:lineRule="auto"/>
        <w:jc w:val="center"/>
      </w:pPr>
      <w:r>
        <w:rPr>
          <w:rFonts w:ascii="Times New Roman" w:hAnsi="Times New Roman"/>
          <w:b/>
          <w:color w:val="0F172A"/>
          <w:sz w:val="24"/>
        </w:rPr>
        <w:t>Submitted by:</w:t>
      </w:r>
    </w:p>
    <w:p>
      <w:pPr>
        <w:spacing w:before="0" w:after="200" w:line="276" w:lineRule="auto"/>
        <w:jc w:val="center"/>
      </w:pPr>
      <w:r>
        <w:rPr>
          <w:rFonts w:ascii="Times New Roman" w:hAnsi="Times New Roman"/>
          <w:b/>
          <w:color w:val="1E3A8A"/>
          <w:sz w:val="26"/>
        </w:rPr>
        <w:t>GAUTAM SONI</w:t>
        <w:br/>
        <w:t>Enrollment No: 0808CS241120</w:t>
      </w:r>
    </w:p>
    <w:p>
      <w:pPr>
        <w:spacing w:before="0" w:after="120" w:line="276" w:lineRule="auto"/>
        <w:jc w:val="center"/>
      </w:pPr>
      <w:r>
        <w:rPr>
          <w:rFonts w:ascii="Times New Roman" w:hAnsi="Times New Roman"/>
          <w:b/>
          <w:color w:val="0F172A"/>
          <w:sz w:val="24"/>
        </w:rPr>
        <w:t>Under the Supervision of:</w:t>
      </w:r>
    </w:p>
    <w:p>
      <w:pPr>
        <w:spacing w:before="0" w:after="320" w:line="276" w:lineRule="auto"/>
        <w:jc w:val="center"/>
      </w:pPr>
      <w:r>
        <w:rPr>
          <w:rFonts w:ascii="Times New Roman" w:hAnsi="Times New Roman"/>
          <w:b/>
          <w:color w:val="1E3A8A"/>
          <w:sz w:val="25"/>
        </w:rPr>
        <w:t>Mrs. Preeti Agrawal</w:t>
        <w:br/>
        <w:t>Assistant Professor, Department of CSE</w:t>
      </w:r>
    </w:p>
    <w:p>
      <w:pPr>
        <w:spacing w:before="0" w:after="0" w:line="276" w:lineRule="auto"/>
        <w:jc w:val="center"/>
      </w:pPr>
      <w:r>
        <w:rPr>
          <w:rFonts w:ascii="Times New Roman" w:hAnsi="Times New Roman"/>
          <w:b/>
          <w:color w:val="0F172A"/>
          <w:sz w:val="24"/>
        </w:rPr>
        <w:t>DEPARTMENT OF COMPUTER SCIENCE &amp; ENGINEERING</w:t>
        <w:br/>
        <w:t>IPS ACADEMY, INSTITUTE OF ENGINEERING &amp; SCIENCE</w:t>
        <w:br/>
        <w:t>(A UGC Autonomous Institute Affiliated to RGPV)</w:t>
        <w:br/>
        <w:t>INDORE (M.P.) — SESSION: 2026-27</w:t>
      </w:r>
    </w:p>
    <w:p>
      <w:r>
        <w:br w:type="page"/>
      </w:r>
    </w:p>
    <w:p>
      <w:pPr>
        <w:spacing w:before="0" w:after="120" w:line="276" w:lineRule="auto"/>
        <w:jc w:val="center"/>
      </w:pPr>
      <w:r>
        <w:rPr>
          <w:rFonts w:ascii="Times New Roman" w:hAnsi="Times New Roman"/>
          <w:b/>
          <w:color w:val="1E3A8A"/>
          <w:sz w:val="30"/>
        </w:rPr>
        <w:t>IPS ACADEMY, INDORE</w:t>
      </w:r>
    </w:p>
    <w:p>
      <w:pPr>
        <w:spacing w:before="0" w:after="400" w:line="276" w:lineRule="auto"/>
        <w:jc w:val="center"/>
      </w:pPr>
      <w:r>
        <w:rPr>
          <w:rFonts w:ascii="Times New Roman" w:hAnsi="Times New Roman"/>
          <w:b/>
          <w:color w:val="1E3A8A"/>
          <w:sz w:val="26"/>
        </w:rPr>
        <w:t>INSTITUTE OF ENGINEERING &amp; SCIENCE</w:t>
        <w:br/>
        <w:t>(A UGC Autonomous Institute Affiliated to RGPV)</w:t>
        <w:br/>
        <w:t>DEPARTMENT OF COMPUTER SCIENCE &amp; ENGINEERING</w:t>
      </w:r>
    </w:p>
    <w:p>
      <w:pPr>
        <w:spacing w:before="0" w:after="120" w:line="276" w:lineRule="auto"/>
        <w:jc w:val="center"/>
      </w:pPr>
      <w:r>
        <w:rPr>
          <w:rFonts w:ascii="Times New Roman" w:hAnsi="Times New Roman"/>
          <w:b w:val="0"/>
          <w:color w:val="1E3A8A"/>
          <w:sz w:val="24"/>
        </w:rPr>
        <w:t>Mini Project Entitled:</w:t>
      </w:r>
    </w:p>
    <w:p>
      <w:pPr>
        <w:spacing w:before="0" w:after="480" w:line="276" w:lineRule="auto"/>
        <w:jc w:val="center"/>
      </w:pPr>
      <w:r>
        <w:rPr>
          <w:rFonts w:ascii="Times New Roman" w:hAnsi="Times New Roman"/>
          <w:b/>
          <w:color w:val="1E3A8A"/>
          <w:sz w:val="32"/>
        </w:rPr>
        <w:t>“Concord: An Experimental Study of Autonomous Negotiation Strategies Between Large Language Model Agents”</w:t>
      </w:r>
    </w:p>
    <w:p>
      <w:pPr>
        <w:spacing w:before="0" w:after="800" w:line="276" w:lineRule="auto"/>
        <w:jc w:val="center"/>
      </w:pPr>
      <w:r>
        <w:rPr>
          <w:rFonts w:ascii="Times New Roman" w:hAnsi="Times New Roman"/>
          <w:b w:val="0"/>
          <w:color w:val="1E3A8A"/>
          <w:sz w:val="24"/>
        </w:rPr>
        <w:t>For the partial fulfillment for the award of Bachelor of Technology (Computer Science &amp; Engineering) Degree by Rajiv Gandhi Proudyogiki Vishwavidyalaya, Bhopal.</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color w:val="0F172A"/>
                <w:sz w:val="22"/>
              </w:rPr>
              <w:t>Guided by:</w:t>
            </w:r>
          </w:p>
        </w:tc>
        <w:tc>
          <w:tcPr>
            <w:tcW w:type="dxa" w:w="4680"/>
          </w:tcPr>
          <w:p>
            <w:r>
              <w:rPr>
                <w:rFonts w:ascii="Times New Roman" w:hAnsi="Times New Roman"/>
                <w:color w:val="0F172A"/>
                <w:sz w:val="22"/>
              </w:rPr>
              <w:t>Submitted by:</w:t>
            </w:r>
          </w:p>
        </w:tc>
      </w:tr>
      <w:tr>
        <w:tc>
          <w:tcPr>
            <w:tcW w:type="dxa" w:w="4680"/>
          </w:tcPr>
          <w:p>
            <w:r>
              <w:rPr>
                <w:rFonts w:ascii="Times New Roman" w:hAnsi="Times New Roman"/>
                <w:color w:val="0F172A"/>
                <w:sz w:val="22"/>
              </w:rPr>
              <w:t>Mrs. Preeti Agrawal</w:t>
              <w:br/>
              <w:t>Assistant Professor, CSE Dept.</w:t>
            </w:r>
          </w:p>
        </w:tc>
        <w:tc>
          <w:tcPr>
            <w:tcW w:type="dxa" w:w="4680"/>
          </w:tcPr>
          <w:p>
            <w:r>
              <w:rPr>
                <w:rFonts w:ascii="Times New Roman" w:hAnsi="Times New Roman"/>
                <w:color w:val="0F172A"/>
                <w:sz w:val="22"/>
              </w:rPr>
              <w:t>Gautam Soni</w:t>
              <w:br/>
              <w:t>0808CS241120</w:t>
              <w:br/>
              <w:t>B.Tech (CSE) VIII Sem</w:t>
            </w:r>
          </w:p>
        </w:tc>
      </w:tr>
    </w:tbl>
    <w:p>
      <w:r>
        <w:br w:type="page"/>
      </w:r>
    </w:p>
    <w:p>
      <w:pPr>
        <w:spacing w:before="0" w:after="120" w:line="276" w:lineRule="auto"/>
        <w:jc w:val="center"/>
      </w:pPr>
      <w:r>
        <w:rPr>
          <w:rFonts w:ascii="Times New Roman" w:hAnsi="Times New Roman"/>
          <w:b/>
          <w:color w:val="1E3A8A"/>
          <w:sz w:val="30"/>
        </w:rPr>
        <w:t>IPS ACADEMY, INDORE</w:t>
      </w:r>
    </w:p>
    <w:p>
      <w:pPr>
        <w:spacing w:before="0" w:after="280" w:line="276" w:lineRule="auto"/>
        <w:jc w:val="center"/>
      </w:pPr>
      <w:r>
        <w:rPr>
          <w:rFonts w:ascii="Times New Roman" w:hAnsi="Times New Roman"/>
          <w:b/>
          <w:color w:val="1E3A8A"/>
          <w:sz w:val="26"/>
        </w:rPr>
        <w:t>INSTITUTE OF ENGINEERING &amp; SCIENCE</w:t>
        <w:br/>
        <w:t>(A UGC Autonomous Institute Affiliated to RGPV)</w:t>
        <w:br/>
        <w:t>DEPARTMENT OF COMPUTER SCIENCE &amp; ENGINEERING</w:t>
      </w:r>
    </w:p>
    <w:p>
      <w:pPr>
        <w:spacing w:before="200" w:after="320" w:line="276" w:lineRule="auto"/>
        <w:jc w:val="center"/>
      </w:pPr>
      <w:r>
        <w:rPr>
          <w:rFonts w:ascii="Times New Roman" w:hAnsi="Times New Roman"/>
          <w:b/>
          <w:color w:val="1E3A8A"/>
          <w:sz w:val="32"/>
        </w:rPr>
        <w:t>CERTIFICATE</w:t>
      </w:r>
    </w:p>
    <w:p>
      <w:pPr>
        <w:spacing w:line="360" w:lineRule="auto" w:after="120"/>
        <w:jc w:val="both"/>
      </w:pPr>
      <w:r>
        <w:rPr>
          <w:rFonts w:ascii="Times New Roman" w:hAnsi="Times New Roman"/>
          <w:color w:val="334155"/>
          <w:sz w:val="24"/>
        </w:rPr>
        <w:t>This is to certify that the Mini Project entitled “Concord: An Experimental Study of Autonomous Negotiation Strategies Between Large Language Model Agents” has been successfully completed by Gautam Soni (Enrollment No: 0808CS241120), student of Bachelor of Technology in Computer Science &amp; Engineering, at IPS Academy, Institute of Engineering &amp; Science, Indore, in partial fulfillment of the requirements for the award of the Degree of Bachelor of Technology (Computer Science &amp; Engineering) by Rajiv Gandhi Proudyogiki Vishwavidyalaya, Bhopal (M.P.) during the academic session 2026-27 under our supervision and guidance.</w:t>
      </w:r>
    </w:p>
    <w:p>
      <w:pPr>
        <w:spacing w:line="360" w:lineRule="auto" w:after="120"/>
        <w:jc w:val="both"/>
      </w:pPr>
      <w:r>
        <w:rPr>
          <w:rFonts w:ascii="Times New Roman" w:hAnsi="Times New Roman"/>
          <w:color w:val="334155"/>
          <w:sz w:val="24"/>
        </w:rPr>
        <w:t>The work embodied in this project report has reached the standard fulfilling the requirements and the regulations relating to the degree. To the best of our knowledge, the results incorporated in this report have not been submitted to any other University or Institute for the award of any degree or diploma.</w:t>
      </w:r>
    </w:p>
    <w:p>
      <w:pPr>
        <w:spacing w:before="1000"/>
      </w:pP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color w:val="0F172A"/>
                <w:sz w:val="22"/>
              </w:rPr>
              <w:t>Mrs. Preeti Agrawal</w:t>
              <w:br/>
              <w:t>(Project Guide)</w:t>
              <w:br/>
              <w:t>Assistant Professor, CSE</w:t>
            </w:r>
          </w:p>
        </w:tc>
        <w:tc>
          <w:tcPr>
            <w:tcW w:type="dxa" w:w="3120"/>
          </w:tcPr>
          <w:p>
            <w:pPr>
              <w:jc w:val="center"/>
            </w:pPr>
            <w:r>
              <w:rPr>
                <w:rFonts w:ascii="Times New Roman" w:hAnsi="Times New Roman"/>
                <w:b/>
                <w:color w:val="0F172A"/>
                <w:sz w:val="22"/>
              </w:rPr>
              <w:t>Mr. Arvind Upadhyay</w:t>
              <w:br/>
              <w:t>(Branch Coordinator)</w:t>
              <w:br/>
              <w:t>Department of CSE</w:t>
            </w:r>
          </w:p>
        </w:tc>
        <w:tc>
          <w:tcPr>
            <w:tcW w:type="dxa" w:w="3120"/>
          </w:tcPr>
          <w:p>
            <w:pPr>
              <w:jc w:val="center"/>
            </w:pPr>
            <w:r>
              <w:rPr>
                <w:rFonts w:ascii="Times New Roman" w:hAnsi="Times New Roman"/>
                <w:b/>
                <w:color w:val="0F172A"/>
                <w:sz w:val="22"/>
              </w:rPr>
              <w:t>Dr. Neeraj Shrivastava</w:t>
              <w:br/>
              <w:t>(Prof. &amp; Head)</w:t>
              <w:br/>
              <w:t>Department of CSE</w:t>
            </w:r>
          </w:p>
        </w:tc>
      </w:tr>
      <w:tr>
        <w:tc>
          <w:tcPr>
            <w:tcW w:type="dxa" w:w="3120"/>
          </w:tcPr>
          <w:p/>
        </w:tc>
        <w:tc>
          <w:tcPr>
            <w:tcW w:type="dxa" w:w="3120"/>
          </w:tcPr>
          <w:p/>
        </w:tc>
        <w:tc>
          <w:tcPr>
            <w:tcW w:type="dxa" w:w="3120"/>
          </w:tcPr>
          <w:p/>
        </w:tc>
      </w:tr>
    </w:tbl>
    <w:p>
      <w:r>
        <w:br w:type="page"/>
      </w:r>
    </w:p>
    <w:p>
      <w:pPr>
        <w:spacing w:before="0" w:after="320" w:line="276" w:lineRule="auto"/>
        <w:jc w:val="center"/>
      </w:pPr>
      <w:r>
        <w:rPr>
          <w:rFonts w:ascii="Times New Roman" w:hAnsi="Times New Roman"/>
          <w:b/>
          <w:color w:val="1E3A8A"/>
          <w:sz w:val="32"/>
        </w:rPr>
        <w:t>ACKNOWLEDGEMENT</w:t>
      </w:r>
    </w:p>
    <w:p>
      <w:pPr>
        <w:spacing w:line="360" w:lineRule="auto" w:after="120"/>
        <w:jc w:val="both"/>
      </w:pPr>
      <w:r>
        <w:rPr>
          <w:rFonts w:ascii="Times New Roman" w:hAnsi="Times New Roman"/>
          <w:color w:val="334155"/>
          <w:sz w:val="24"/>
        </w:rPr>
        <w:t>I would like to express my deepest sense of gratitude and sincere thanks to my project guide, Mrs. Preeti Agrawal, Assistant Professor, Department of Computer Science &amp; Engineering, IPS Academy, Institute of Engineering &amp; Science, Indore, for her invaluable guidance, persistent encouragement, constructive critique, and inspiring mentorship throughout the conceptualization, system implementation, and completion of this project. Her vast technical knowledge and continuous motivation helped steer this project toward fruitful completion.</w:t>
      </w:r>
    </w:p>
    <w:p>
      <w:pPr>
        <w:spacing w:line="360" w:lineRule="auto" w:after="120"/>
        <w:jc w:val="both"/>
      </w:pPr>
      <w:r>
        <w:rPr>
          <w:rFonts w:ascii="Times New Roman" w:hAnsi="Times New Roman"/>
          <w:color w:val="334155"/>
          <w:sz w:val="24"/>
        </w:rPr>
        <w:t>I also convey my deep gratitude to Dr. Archana Keerti Chowdhary, Principal, IPS Academy, Institute of Engineering &amp; Science, for providing an academically stimulating environment, excellent infrastructure, and state-of-the-art laboratory facilities essential for undertaking advanced research projects.</w:t>
      </w:r>
    </w:p>
    <w:p>
      <w:pPr>
        <w:spacing w:line="360" w:lineRule="auto" w:after="120"/>
        <w:jc w:val="both"/>
      </w:pPr>
      <w:r>
        <w:rPr>
          <w:rFonts w:ascii="Times New Roman" w:hAnsi="Times New Roman"/>
          <w:color w:val="334155"/>
          <w:sz w:val="24"/>
        </w:rPr>
        <w:t>I express my sincere thanks to Dr. Neeraj Shrivastava, Professor &amp; Head, Department of Computer Science &amp; Engineering, and Mr. Arvind Upadhyay, Branch Coordinator, Department of CSE, for their constant academic support, valuable administrative coordination, and valuable feedback during the project evaluation reviews.</w:t>
      </w:r>
    </w:p>
    <w:p>
      <w:pPr>
        <w:spacing w:line="360" w:lineRule="auto" w:after="120"/>
        <w:jc w:val="both"/>
      </w:pPr>
      <w:r>
        <w:rPr>
          <w:rFonts w:ascii="Times New Roman" w:hAnsi="Times New Roman"/>
          <w:color w:val="334155"/>
          <w:sz w:val="24"/>
        </w:rPr>
        <w:t>I extend my sincere appreciation to all the faculty members and technical staff of the Computer Science &amp; Engineering Department for their direct and indirect support throughout the academic coursework.</w:t>
      </w:r>
    </w:p>
    <w:p>
      <w:pPr>
        <w:spacing w:line="360" w:lineRule="auto" w:after="120"/>
        <w:jc w:val="both"/>
      </w:pPr>
      <w:r>
        <w:rPr>
          <w:rFonts w:ascii="Times New Roman" w:hAnsi="Times New Roman"/>
          <w:color w:val="334155"/>
          <w:sz w:val="24"/>
        </w:rPr>
        <w:t>Special thanks to my peers, friends, and colleagues who contributed constructive discussions on multi-agent game theory, conversational LLM behavior, and statistical metrics evaluation.</w:t>
      </w:r>
    </w:p>
    <w:p>
      <w:pPr>
        <w:spacing w:line="360" w:lineRule="auto" w:after="120"/>
        <w:jc w:val="both"/>
      </w:pPr>
      <w:r>
        <w:rPr>
          <w:rFonts w:ascii="Times New Roman" w:hAnsi="Times New Roman"/>
          <w:color w:val="334155"/>
          <w:sz w:val="24"/>
        </w:rPr>
        <w:t>Finally, I am eternally indebted to my parents and family members for their boundless affection, moral encouragement, sacrifices, and unconditional support, which have always been my greatest source of strength.</w:t>
      </w:r>
    </w:p>
    <w:p>
      <w:pPr>
        <w:spacing w:before="600"/>
        <w:jc w:val="right"/>
      </w:pPr>
      <w:r>
        <w:rPr>
          <w:rFonts w:ascii="Times New Roman" w:hAnsi="Times New Roman"/>
          <w:b/>
          <w:color w:val="0F172A"/>
        </w:rPr>
        <w:t>Gautam Soni</w:t>
        <w:br/>
      </w:r>
      <w:r>
        <w:rPr>
          <w:rFonts w:ascii="Times New Roman" w:hAnsi="Times New Roman"/>
          <w:color w:val="0F172A"/>
        </w:rPr>
        <w:t>Enrollment No: 0808CS241120</w:t>
        <w:br/>
        <w:t>B.Tech (Computer Science &amp; Engineering)</w:t>
        <w:br/>
        <w:t>IPS Academy, Indore</w:t>
      </w:r>
    </w:p>
    <w:p>
      <w:r>
        <w:br w:type="page"/>
      </w:r>
    </w:p>
    <w:p>
      <w:pPr>
        <w:spacing w:before="0" w:after="240" w:line="276" w:lineRule="auto"/>
        <w:jc w:val="center"/>
      </w:pPr>
      <w:r>
        <w:rPr>
          <w:rFonts w:ascii="Times New Roman" w:hAnsi="Times New Roman"/>
          <w:b/>
          <w:color w:val="1E3A8A"/>
          <w:sz w:val="32"/>
        </w:rPr>
        <w:t>CONTENTS</w:t>
      </w:r>
    </w:p>
    <w:tbl>
      <w:tblPr>
        <w:tblW w:type="auto" w:w="0"/>
        <w:jc w:val="center"/>
        <w:tblLook w:firstColumn="1" w:firstRow="1" w:lastColumn="0" w:lastRow="0" w:noHBand="0" w:noVBand="1" w:val="04A0"/>
      </w:tblPr>
      <w:tblGrid>
        <w:gridCol w:w="4680"/>
        <w:gridCol w:w="4680"/>
      </w:tblGrid>
      <w:tr>
        <w:tc>
          <w:tcPr>
            <w:tcW w:type="dxa" w:w="8352"/>
          </w:tcPr>
          <w:p>
            <w:pPr>
              <w:spacing w:line="276" w:lineRule="auto" w:after="40"/>
            </w:pPr>
            <w:r>
              <w:rPr>
                <w:color w:val="334155"/>
              </w:rPr>
              <w:t>Certificate</w:t>
            </w:r>
          </w:p>
        </w:tc>
        <w:tc>
          <w:tcPr>
            <w:tcW w:type="dxa" w:w="1008"/>
          </w:tcPr>
          <w:p>
            <w:pPr>
              <w:spacing w:line="276" w:lineRule="auto" w:after="40"/>
              <w:jc w:val="right"/>
            </w:pPr>
            <w:r>
              <w:rPr>
                <w:color w:val="334155"/>
              </w:rPr>
              <w:t>iii</w:t>
            </w:r>
          </w:p>
        </w:tc>
      </w:tr>
      <w:tr>
        <w:tc>
          <w:tcPr>
            <w:tcW w:type="dxa" w:w="8352"/>
          </w:tcPr>
          <w:p>
            <w:pPr>
              <w:spacing w:line="276" w:lineRule="auto" w:after="40"/>
            </w:pPr>
            <w:r>
              <w:rPr>
                <w:color w:val="334155"/>
              </w:rPr>
              <w:t>Acknowledgement</w:t>
            </w:r>
          </w:p>
        </w:tc>
        <w:tc>
          <w:tcPr>
            <w:tcW w:type="dxa" w:w="1008"/>
          </w:tcPr>
          <w:p>
            <w:pPr>
              <w:spacing w:line="276" w:lineRule="auto" w:after="40"/>
              <w:jc w:val="right"/>
            </w:pPr>
            <w:r>
              <w:rPr>
                <w:color w:val="334155"/>
              </w:rPr>
              <w:t>iv</w:t>
            </w:r>
          </w:p>
        </w:tc>
      </w:tr>
      <w:tr>
        <w:tc>
          <w:tcPr>
            <w:tcW w:type="dxa" w:w="8352"/>
          </w:tcPr>
          <w:p>
            <w:pPr>
              <w:spacing w:line="276" w:lineRule="auto" w:after="40"/>
            </w:pPr>
            <w:r>
              <w:rPr>
                <w:color w:val="334155"/>
              </w:rPr>
              <w:t>List of Figures</w:t>
            </w:r>
          </w:p>
        </w:tc>
        <w:tc>
          <w:tcPr>
            <w:tcW w:type="dxa" w:w="1008"/>
          </w:tcPr>
          <w:p>
            <w:pPr>
              <w:spacing w:line="276" w:lineRule="auto" w:after="40"/>
              <w:jc w:val="right"/>
            </w:pPr>
            <w:r>
              <w:rPr>
                <w:color w:val="334155"/>
              </w:rPr>
              <w:t>vi</w:t>
            </w:r>
          </w:p>
        </w:tc>
      </w:tr>
      <w:tr>
        <w:tc>
          <w:tcPr>
            <w:tcW w:type="dxa" w:w="8352"/>
          </w:tcPr>
          <w:p>
            <w:pPr>
              <w:spacing w:line="276" w:lineRule="auto" w:after="40"/>
            </w:pPr>
            <w:r>
              <w:rPr>
                <w:color w:val="334155"/>
              </w:rPr>
              <w:t>List of Tables</w:t>
            </w:r>
          </w:p>
        </w:tc>
        <w:tc>
          <w:tcPr>
            <w:tcW w:type="dxa" w:w="1008"/>
          </w:tcPr>
          <w:p>
            <w:pPr>
              <w:spacing w:line="276" w:lineRule="auto" w:after="40"/>
              <w:jc w:val="right"/>
            </w:pPr>
            <w:r>
              <w:rPr>
                <w:color w:val="334155"/>
              </w:rPr>
              <w:t>vii</w:t>
            </w:r>
          </w:p>
        </w:tc>
      </w:tr>
      <w:tr>
        <w:tc>
          <w:tcPr>
            <w:tcW w:type="dxa" w:w="8352"/>
          </w:tcPr>
          <w:p>
            <w:pPr>
              <w:spacing w:line="276" w:lineRule="auto" w:after="40"/>
            </w:pPr>
            <w:r>
              <w:rPr>
                <w:color w:val="334155"/>
              </w:rPr>
              <w:t>List of Abbreviations</w:t>
            </w:r>
          </w:p>
        </w:tc>
        <w:tc>
          <w:tcPr>
            <w:tcW w:type="dxa" w:w="1008"/>
          </w:tcPr>
          <w:p>
            <w:pPr>
              <w:spacing w:line="276" w:lineRule="auto" w:after="40"/>
              <w:jc w:val="right"/>
            </w:pPr>
            <w:r>
              <w:rPr>
                <w:color w:val="334155"/>
              </w:rPr>
              <w:t>viii</w:t>
            </w:r>
          </w:p>
        </w:tc>
      </w:tr>
      <w:tr>
        <w:tc>
          <w:tcPr>
            <w:tcW w:type="dxa" w:w="8352"/>
          </w:tcPr>
          <w:p>
            <w:pPr>
              <w:spacing w:line="276" w:lineRule="auto" w:after="40"/>
            </w:pPr>
            <w:r>
              <w:rPr>
                <w:color w:val="334155"/>
              </w:rPr>
              <w:t>Abstract</w:t>
            </w:r>
          </w:p>
        </w:tc>
        <w:tc>
          <w:tcPr>
            <w:tcW w:type="dxa" w:w="1008"/>
          </w:tcPr>
          <w:p>
            <w:pPr>
              <w:spacing w:line="276" w:lineRule="auto" w:after="40"/>
              <w:jc w:val="right"/>
            </w:pPr>
            <w:r>
              <w:rPr>
                <w:color w:val="334155"/>
              </w:rPr>
              <w:t>ix</w:t>
            </w:r>
          </w:p>
        </w:tc>
      </w:tr>
      <w:tr>
        <w:tc>
          <w:tcPr>
            <w:tcW w:type="dxa" w:w="8352"/>
          </w:tcPr>
          <w:p>
            <w:pPr>
              <w:spacing w:line="276" w:lineRule="auto" w:after="40"/>
            </w:pPr>
            <w:r>
              <w:rPr>
                <w:b/>
                <w:color w:val="1E3A8A"/>
              </w:rPr>
              <w:t>CHAPTER 1: INTRODUCTION</w:t>
            </w:r>
          </w:p>
        </w:tc>
        <w:tc>
          <w:tcPr>
            <w:tcW w:type="dxa" w:w="1008"/>
          </w:tcPr>
          <w:p>
            <w:pPr>
              <w:spacing w:line="276" w:lineRule="auto" w:after="40"/>
              <w:jc w:val="right"/>
            </w:pPr>
            <w:r>
              <w:rPr>
                <w:b/>
                <w:color w:val="1E3A8A"/>
              </w:rPr>
              <w:t>1</w:t>
            </w:r>
          </w:p>
        </w:tc>
      </w:tr>
      <w:tr>
        <w:tc>
          <w:tcPr>
            <w:tcW w:type="dxa" w:w="8352"/>
          </w:tcPr>
          <w:p>
            <w:pPr>
              <w:spacing w:line="276" w:lineRule="auto" w:after="40"/>
            </w:pPr>
            <w:r>
              <w:rPr>
                <w:color w:val="334155"/>
              </w:rPr>
              <w:t xml:space="preserve">   1.1 Background of the Study</w:t>
            </w:r>
          </w:p>
        </w:tc>
        <w:tc>
          <w:tcPr>
            <w:tcW w:type="dxa" w:w="1008"/>
          </w:tcPr>
          <w:p>
            <w:pPr>
              <w:spacing w:line="276" w:lineRule="auto" w:after="40"/>
              <w:jc w:val="right"/>
            </w:pPr>
            <w:r>
              <w:rPr>
                <w:color w:val="334155"/>
              </w:rPr>
              <w:t>1</w:t>
            </w:r>
          </w:p>
        </w:tc>
      </w:tr>
      <w:tr>
        <w:tc>
          <w:tcPr>
            <w:tcW w:type="dxa" w:w="8352"/>
          </w:tcPr>
          <w:p>
            <w:pPr>
              <w:spacing w:line="276" w:lineRule="auto" w:after="40"/>
            </w:pPr>
            <w:r>
              <w:rPr>
                <w:color w:val="334155"/>
              </w:rPr>
              <w:t xml:space="preserve">   1.2 Problem Context &amp; Motivation</w:t>
            </w:r>
          </w:p>
        </w:tc>
        <w:tc>
          <w:tcPr>
            <w:tcW w:type="dxa" w:w="1008"/>
          </w:tcPr>
          <w:p>
            <w:pPr>
              <w:spacing w:line="276" w:lineRule="auto" w:after="40"/>
              <w:jc w:val="right"/>
            </w:pPr>
            <w:r>
              <w:rPr>
                <w:color w:val="334155"/>
              </w:rPr>
              <w:t>2</w:t>
            </w:r>
          </w:p>
        </w:tc>
      </w:tr>
      <w:tr>
        <w:tc>
          <w:tcPr>
            <w:tcW w:type="dxa" w:w="8352"/>
          </w:tcPr>
          <w:p>
            <w:pPr>
              <w:spacing w:line="276" w:lineRule="auto" w:after="40"/>
            </w:pPr>
            <w:r>
              <w:rPr>
                <w:color w:val="334155"/>
              </w:rPr>
              <w:t xml:space="preserve">   1.3 Project Objectives</w:t>
            </w:r>
          </w:p>
        </w:tc>
        <w:tc>
          <w:tcPr>
            <w:tcW w:type="dxa" w:w="1008"/>
          </w:tcPr>
          <w:p>
            <w:pPr>
              <w:spacing w:line="276" w:lineRule="auto" w:after="40"/>
              <w:jc w:val="right"/>
            </w:pPr>
            <w:r>
              <w:rPr>
                <w:color w:val="334155"/>
              </w:rPr>
              <w:t>3</w:t>
            </w:r>
          </w:p>
        </w:tc>
      </w:tr>
      <w:tr>
        <w:tc>
          <w:tcPr>
            <w:tcW w:type="dxa" w:w="8352"/>
          </w:tcPr>
          <w:p>
            <w:pPr>
              <w:spacing w:line="276" w:lineRule="auto" w:after="40"/>
            </w:pPr>
            <w:r>
              <w:rPr>
                <w:color w:val="334155"/>
              </w:rPr>
              <w:t xml:space="preserve">   1.4 Scope and Limitations</w:t>
            </w:r>
          </w:p>
        </w:tc>
        <w:tc>
          <w:tcPr>
            <w:tcW w:type="dxa" w:w="1008"/>
          </w:tcPr>
          <w:p>
            <w:pPr>
              <w:spacing w:line="276" w:lineRule="auto" w:after="40"/>
              <w:jc w:val="right"/>
            </w:pPr>
            <w:r>
              <w:rPr>
                <w:color w:val="334155"/>
              </w:rPr>
              <w:t>4</w:t>
            </w:r>
          </w:p>
        </w:tc>
      </w:tr>
      <w:tr>
        <w:tc>
          <w:tcPr>
            <w:tcW w:type="dxa" w:w="8352"/>
          </w:tcPr>
          <w:p>
            <w:pPr>
              <w:spacing w:line="276" w:lineRule="auto" w:after="40"/>
            </w:pPr>
            <w:r>
              <w:rPr>
                <w:b/>
                <w:color w:val="1E3A8A"/>
              </w:rPr>
              <w:t>CHAPTER 2: PROBLEM IDENTIFICATION &amp; SCOPE</w:t>
            </w:r>
          </w:p>
        </w:tc>
        <w:tc>
          <w:tcPr>
            <w:tcW w:type="dxa" w:w="1008"/>
          </w:tcPr>
          <w:p>
            <w:pPr>
              <w:spacing w:line="276" w:lineRule="auto" w:after="40"/>
              <w:jc w:val="right"/>
            </w:pPr>
            <w:r>
              <w:rPr>
                <w:b/>
                <w:color w:val="1E3A8A"/>
              </w:rPr>
              <w:t>5</w:t>
            </w:r>
          </w:p>
        </w:tc>
      </w:tr>
      <w:tr>
        <w:tc>
          <w:tcPr>
            <w:tcW w:type="dxa" w:w="8352"/>
          </w:tcPr>
          <w:p>
            <w:pPr>
              <w:spacing w:line="276" w:lineRule="auto" w:after="40"/>
            </w:pPr>
            <w:r>
              <w:rPr>
                <w:color w:val="334155"/>
              </w:rPr>
              <w:t xml:space="preserve">   2.1 Problem Domain</w:t>
            </w:r>
          </w:p>
        </w:tc>
        <w:tc>
          <w:tcPr>
            <w:tcW w:type="dxa" w:w="1008"/>
          </w:tcPr>
          <w:p>
            <w:pPr>
              <w:spacing w:line="276" w:lineRule="auto" w:after="40"/>
              <w:jc w:val="right"/>
            </w:pPr>
            <w:r>
              <w:rPr>
                <w:color w:val="334155"/>
              </w:rPr>
              <w:t>5</w:t>
            </w:r>
          </w:p>
        </w:tc>
      </w:tr>
      <w:tr>
        <w:tc>
          <w:tcPr>
            <w:tcW w:type="dxa" w:w="8352"/>
          </w:tcPr>
          <w:p>
            <w:pPr>
              <w:spacing w:line="276" w:lineRule="auto" w:after="40"/>
            </w:pPr>
            <w:r>
              <w:rPr>
                <w:color w:val="334155"/>
              </w:rPr>
              <w:t xml:space="preserve">   2.2 Solution Domain</w:t>
            </w:r>
          </w:p>
        </w:tc>
        <w:tc>
          <w:tcPr>
            <w:tcW w:type="dxa" w:w="1008"/>
          </w:tcPr>
          <w:p>
            <w:pPr>
              <w:spacing w:line="276" w:lineRule="auto" w:after="40"/>
              <w:jc w:val="right"/>
            </w:pPr>
            <w:r>
              <w:rPr>
                <w:color w:val="334155"/>
              </w:rPr>
              <w:t>6</w:t>
            </w:r>
          </w:p>
        </w:tc>
      </w:tr>
      <w:tr>
        <w:tc>
          <w:tcPr>
            <w:tcW w:type="dxa" w:w="8352"/>
          </w:tcPr>
          <w:p>
            <w:pPr>
              <w:spacing w:line="276" w:lineRule="auto" w:after="40"/>
            </w:pPr>
            <w:r>
              <w:rPr>
                <w:color w:val="334155"/>
              </w:rPr>
              <w:t xml:space="preserve">   2.3 Economic Foundation &amp; Rubinstein Bargaining Model</w:t>
            </w:r>
          </w:p>
        </w:tc>
        <w:tc>
          <w:tcPr>
            <w:tcW w:type="dxa" w:w="1008"/>
          </w:tcPr>
          <w:p>
            <w:pPr>
              <w:spacing w:line="276" w:lineRule="auto" w:after="40"/>
              <w:jc w:val="right"/>
            </w:pPr>
            <w:r>
              <w:rPr>
                <w:color w:val="334155"/>
              </w:rPr>
              <w:t>7</w:t>
            </w:r>
          </w:p>
        </w:tc>
      </w:tr>
      <w:tr>
        <w:tc>
          <w:tcPr>
            <w:tcW w:type="dxa" w:w="8352"/>
          </w:tcPr>
          <w:p>
            <w:pPr>
              <w:spacing w:line="276" w:lineRule="auto" w:after="40"/>
            </w:pPr>
            <w:r>
              <w:rPr>
                <w:b/>
                <w:color w:val="1E3A8A"/>
              </w:rPr>
              <w:t>CHAPTER 3: SOFTWARE ENGINEERING APPROACH</w:t>
            </w:r>
          </w:p>
        </w:tc>
        <w:tc>
          <w:tcPr>
            <w:tcW w:type="dxa" w:w="1008"/>
          </w:tcPr>
          <w:p>
            <w:pPr>
              <w:spacing w:line="276" w:lineRule="auto" w:after="40"/>
              <w:jc w:val="right"/>
            </w:pPr>
            <w:r>
              <w:rPr>
                <w:b/>
                <w:color w:val="1E3A8A"/>
              </w:rPr>
              <w:t>9</w:t>
            </w:r>
          </w:p>
        </w:tc>
      </w:tr>
      <w:tr>
        <w:tc>
          <w:tcPr>
            <w:tcW w:type="dxa" w:w="8352"/>
          </w:tcPr>
          <w:p>
            <w:pPr>
              <w:spacing w:line="276" w:lineRule="auto" w:after="40"/>
            </w:pPr>
            <w:r>
              <w:rPr>
                <w:color w:val="334155"/>
              </w:rPr>
              <w:t xml:space="preserve">   3.1 Software Development Life Cycle (SDLC) Model</w:t>
            </w:r>
          </w:p>
        </w:tc>
        <w:tc>
          <w:tcPr>
            <w:tcW w:type="dxa" w:w="1008"/>
          </w:tcPr>
          <w:p>
            <w:pPr>
              <w:spacing w:line="276" w:lineRule="auto" w:after="40"/>
              <w:jc w:val="right"/>
            </w:pPr>
            <w:r>
              <w:rPr>
                <w:color w:val="334155"/>
              </w:rPr>
              <w:t>9</w:t>
            </w:r>
          </w:p>
        </w:tc>
      </w:tr>
      <w:tr>
        <w:tc>
          <w:tcPr>
            <w:tcW w:type="dxa" w:w="8352"/>
          </w:tcPr>
          <w:p>
            <w:pPr>
              <w:spacing w:line="276" w:lineRule="auto" w:after="40"/>
            </w:pPr>
            <w:r>
              <w:rPr>
                <w:color w:val="334155"/>
              </w:rPr>
              <w:t xml:space="preserve">   3.2 Platform &amp; Technical Specifications</w:t>
            </w:r>
          </w:p>
        </w:tc>
        <w:tc>
          <w:tcPr>
            <w:tcW w:type="dxa" w:w="1008"/>
          </w:tcPr>
          <w:p>
            <w:pPr>
              <w:spacing w:line="276" w:lineRule="auto" w:after="40"/>
              <w:jc w:val="right"/>
            </w:pPr>
            <w:r>
              <w:rPr>
                <w:color w:val="334155"/>
              </w:rPr>
              <w:t>11</w:t>
            </w:r>
          </w:p>
        </w:tc>
      </w:tr>
      <w:tr>
        <w:tc>
          <w:tcPr>
            <w:tcW w:type="dxa" w:w="8352"/>
          </w:tcPr>
          <w:p>
            <w:pPr>
              <w:spacing w:line="276" w:lineRule="auto" w:after="40"/>
            </w:pPr>
            <w:r>
              <w:rPr>
                <w:color w:val="334155"/>
              </w:rPr>
              <w:t xml:space="preserve">       3.2.1 Hardware Specification</w:t>
            </w:r>
          </w:p>
        </w:tc>
        <w:tc>
          <w:tcPr>
            <w:tcW w:type="dxa" w:w="1008"/>
          </w:tcPr>
          <w:p>
            <w:pPr>
              <w:spacing w:line="276" w:lineRule="auto" w:after="40"/>
              <w:jc w:val="right"/>
            </w:pPr>
            <w:r>
              <w:rPr>
                <w:color w:val="334155"/>
              </w:rPr>
              <w:t>11</w:t>
            </w:r>
          </w:p>
        </w:tc>
      </w:tr>
      <w:tr>
        <w:tc>
          <w:tcPr>
            <w:tcW w:type="dxa" w:w="8352"/>
          </w:tcPr>
          <w:p>
            <w:pPr>
              <w:spacing w:line="276" w:lineRule="auto" w:after="40"/>
            </w:pPr>
            <w:r>
              <w:rPr>
                <w:color w:val="334155"/>
              </w:rPr>
              <w:t xml:space="preserve">       3.2.2 Software Specification</w:t>
            </w:r>
          </w:p>
        </w:tc>
        <w:tc>
          <w:tcPr>
            <w:tcW w:type="dxa" w:w="1008"/>
          </w:tcPr>
          <w:p>
            <w:pPr>
              <w:spacing w:line="276" w:lineRule="auto" w:after="40"/>
              <w:jc w:val="right"/>
            </w:pPr>
            <w:r>
              <w:rPr>
                <w:color w:val="334155"/>
              </w:rPr>
              <w:t>11</w:t>
            </w:r>
          </w:p>
        </w:tc>
      </w:tr>
      <w:tr>
        <w:tc>
          <w:tcPr>
            <w:tcW w:type="dxa" w:w="8352"/>
          </w:tcPr>
          <w:p>
            <w:pPr>
              <w:spacing w:line="276" w:lineRule="auto" w:after="40"/>
            </w:pPr>
            <w:r>
              <w:rPr>
                <w:color w:val="334155"/>
              </w:rPr>
              <w:t xml:space="preserve">   3.3 Existing Work &amp; Literature Review</w:t>
            </w:r>
          </w:p>
        </w:tc>
        <w:tc>
          <w:tcPr>
            <w:tcW w:type="dxa" w:w="1008"/>
          </w:tcPr>
          <w:p>
            <w:pPr>
              <w:spacing w:line="276" w:lineRule="auto" w:after="40"/>
              <w:jc w:val="right"/>
            </w:pPr>
            <w:r>
              <w:rPr>
                <w:color w:val="334155"/>
              </w:rPr>
              <w:t>12</w:t>
            </w:r>
          </w:p>
        </w:tc>
      </w:tr>
      <w:tr>
        <w:tc>
          <w:tcPr>
            <w:tcW w:type="dxa" w:w="8352"/>
          </w:tcPr>
          <w:p>
            <w:pPr>
              <w:spacing w:line="276" w:lineRule="auto" w:after="40"/>
            </w:pPr>
            <w:r>
              <w:rPr>
                <w:color w:val="334155"/>
              </w:rPr>
              <w:t xml:space="preserve">       3.3.1 Strengths of Existing Works</w:t>
            </w:r>
          </w:p>
        </w:tc>
        <w:tc>
          <w:tcPr>
            <w:tcW w:type="dxa" w:w="1008"/>
          </w:tcPr>
          <w:p>
            <w:pPr>
              <w:spacing w:line="276" w:lineRule="auto" w:after="40"/>
              <w:jc w:val="right"/>
            </w:pPr>
            <w:r>
              <w:rPr>
                <w:color w:val="334155"/>
              </w:rPr>
              <w:t>12</w:t>
            </w:r>
          </w:p>
        </w:tc>
      </w:tr>
      <w:tr>
        <w:tc>
          <w:tcPr>
            <w:tcW w:type="dxa" w:w="8352"/>
          </w:tcPr>
          <w:p>
            <w:pPr>
              <w:spacing w:line="276" w:lineRule="auto" w:after="40"/>
            </w:pPr>
            <w:r>
              <w:rPr>
                <w:color w:val="334155"/>
              </w:rPr>
              <w:t xml:space="preserve">       3.3.2 Limitations &amp; Shortcomings</w:t>
            </w:r>
          </w:p>
        </w:tc>
        <w:tc>
          <w:tcPr>
            <w:tcW w:type="dxa" w:w="1008"/>
          </w:tcPr>
          <w:p>
            <w:pPr>
              <w:spacing w:line="276" w:lineRule="auto" w:after="40"/>
              <w:jc w:val="right"/>
            </w:pPr>
            <w:r>
              <w:rPr>
                <w:color w:val="334155"/>
              </w:rPr>
              <w:t>13</w:t>
            </w:r>
          </w:p>
        </w:tc>
      </w:tr>
      <w:tr>
        <w:tc>
          <w:tcPr>
            <w:tcW w:type="dxa" w:w="8352"/>
          </w:tcPr>
          <w:p>
            <w:pPr>
              <w:spacing w:line="276" w:lineRule="auto" w:after="40"/>
            </w:pPr>
            <w:r>
              <w:rPr>
                <w:color w:val="334155"/>
              </w:rPr>
              <w:t xml:space="preserve">   3.4 Gap Analysis &amp; Project Contributions</w:t>
            </w:r>
          </w:p>
        </w:tc>
        <w:tc>
          <w:tcPr>
            <w:tcW w:type="dxa" w:w="1008"/>
          </w:tcPr>
          <w:p>
            <w:pPr>
              <w:spacing w:line="276" w:lineRule="auto" w:after="40"/>
              <w:jc w:val="right"/>
            </w:pPr>
            <w:r>
              <w:rPr>
                <w:color w:val="334155"/>
              </w:rPr>
              <w:t>14</w:t>
            </w:r>
          </w:p>
        </w:tc>
      </w:tr>
      <w:tr>
        <w:tc>
          <w:tcPr>
            <w:tcW w:type="dxa" w:w="8352"/>
          </w:tcPr>
          <w:p>
            <w:pPr>
              <w:spacing w:line="276" w:lineRule="auto" w:after="40"/>
            </w:pPr>
            <w:r>
              <w:rPr>
                <w:b/>
                <w:color w:val="1E3A8A"/>
              </w:rPr>
              <w:t>CHAPTER 4: SYSTEM DESIGN &amp; UML MODELING</w:t>
            </w:r>
          </w:p>
        </w:tc>
        <w:tc>
          <w:tcPr>
            <w:tcW w:type="dxa" w:w="1008"/>
          </w:tcPr>
          <w:p>
            <w:pPr>
              <w:spacing w:line="276" w:lineRule="auto" w:after="40"/>
              <w:jc w:val="right"/>
            </w:pPr>
            <w:r>
              <w:rPr>
                <w:b/>
                <w:color w:val="1E3A8A"/>
              </w:rPr>
              <w:t>16</w:t>
            </w:r>
          </w:p>
        </w:tc>
      </w:tr>
      <w:tr>
        <w:tc>
          <w:tcPr>
            <w:tcW w:type="dxa" w:w="8352"/>
          </w:tcPr>
          <w:p>
            <w:pPr>
              <w:spacing w:line="276" w:lineRule="auto" w:after="40"/>
            </w:pPr>
            <w:r>
              <w:rPr>
                <w:color w:val="334155"/>
              </w:rPr>
              <w:t xml:space="preserve">   4.1 System Architectural Design</w:t>
            </w:r>
          </w:p>
        </w:tc>
        <w:tc>
          <w:tcPr>
            <w:tcW w:type="dxa" w:w="1008"/>
          </w:tcPr>
          <w:p>
            <w:pPr>
              <w:spacing w:line="276" w:lineRule="auto" w:after="40"/>
              <w:jc w:val="right"/>
            </w:pPr>
            <w:r>
              <w:rPr>
                <w:color w:val="334155"/>
              </w:rPr>
              <w:t>16</w:t>
            </w:r>
          </w:p>
        </w:tc>
      </w:tr>
      <w:tr>
        <w:tc>
          <w:tcPr>
            <w:tcW w:type="dxa" w:w="8352"/>
          </w:tcPr>
          <w:p>
            <w:pPr>
              <w:spacing w:line="276" w:lineRule="auto" w:after="40"/>
            </w:pPr>
            <w:r>
              <w:rPr>
                <w:color w:val="334155"/>
              </w:rPr>
              <w:t xml:space="preserve">   4.2 Use Case Diagram</w:t>
            </w:r>
          </w:p>
        </w:tc>
        <w:tc>
          <w:tcPr>
            <w:tcW w:type="dxa" w:w="1008"/>
          </w:tcPr>
          <w:p>
            <w:pPr>
              <w:spacing w:line="276" w:lineRule="auto" w:after="40"/>
              <w:jc w:val="right"/>
            </w:pPr>
            <w:r>
              <w:rPr>
                <w:color w:val="334155"/>
              </w:rPr>
              <w:t>18</w:t>
            </w:r>
          </w:p>
        </w:tc>
      </w:tr>
      <w:tr>
        <w:tc>
          <w:tcPr>
            <w:tcW w:type="dxa" w:w="8352"/>
          </w:tcPr>
          <w:p>
            <w:pPr>
              <w:spacing w:line="276" w:lineRule="auto" w:after="40"/>
            </w:pPr>
            <w:r>
              <w:rPr>
                <w:color w:val="334155"/>
              </w:rPr>
              <w:t xml:space="preserve">   4.3 Sequence Diagram</w:t>
            </w:r>
          </w:p>
        </w:tc>
        <w:tc>
          <w:tcPr>
            <w:tcW w:type="dxa" w:w="1008"/>
          </w:tcPr>
          <w:p>
            <w:pPr>
              <w:spacing w:line="276" w:lineRule="auto" w:after="40"/>
              <w:jc w:val="right"/>
            </w:pPr>
            <w:r>
              <w:rPr>
                <w:color w:val="334155"/>
              </w:rPr>
              <w:t>20</w:t>
            </w:r>
          </w:p>
        </w:tc>
      </w:tr>
      <w:tr>
        <w:tc>
          <w:tcPr>
            <w:tcW w:type="dxa" w:w="8352"/>
          </w:tcPr>
          <w:p>
            <w:pPr>
              <w:spacing w:line="276" w:lineRule="auto" w:after="40"/>
            </w:pPr>
            <w:r>
              <w:rPr>
                <w:color w:val="334155"/>
              </w:rPr>
              <w:t xml:space="preserve">   4.4 State Machine Diagram</w:t>
            </w:r>
          </w:p>
        </w:tc>
        <w:tc>
          <w:tcPr>
            <w:tcW w:type="dxa" w:w="1008"/>
          </w:tcPr>
          <w:p>
            <w:pPr>
              <w:spacing w:line="276" w:lineRule="auto" w:after="40"/>
              <w:jc w:val="right"/>
            </w:pPr>
            <w:r>
              <w:rPr>
                <w:color w:val="334155"/>
              </w:rPr>
              <w:t>22</w:t>
            </w:r>
          </w:p>
        </w:tc>
      </w:tr>
      <w:tr>
        <w:tc>
          <w:tcPr>
            <w:tcW w:type="dxa" w:w="8352"/>
          </w:tcPr>
          <w:p>
            <w:pPr>
              <w:spacing w:line="276" w:lineRule="auto" w:after="40"/>
            </w:pPr>
            <w:r>
              <w:rPr>
                <w:color w:val="334155"/>
              </w:rPr>
              <w:t xml:space="preserve">   4.5 Class &amp; Data Contract Design</w:t>
            </w:r>
          </w:p>
        </w:tc>
        <w:tc>
          <w:tcPr>
            <w:tcW w:type="dxa" w:w="1008"/>
          </w:tcPr>
          <w:p>
            <w:pPr>
              <w:spacing w:line="276" w:lineRule="auto" w:after="40"/>
              <w:jc w:val="right"/>
            </w:pPr>
            <w:r>
              <w:rPr>
                <w:color w:val="334155"/>
              </w:rPr>
              <w:t>24</w:t>
            </w:r>
          </w:p>
        </w:tc>
      </w:tr>
      <w:tr>
        <w:tc>
          <w:tcPr>
            <w:tcW w:type="dxa" w:w="8352"/>
          </w:tcPr>
          <w:p>
            <w:pPr>
              <w:spacing w:line="276" w:lineRule="auto" w:after="40"/>
            </w:pPr>
            <w:r>
              <w:rPr>
                <w:b/>
                <w:color w:val="1E3A8A"/>
              </w:rPr>
              <w:t>CHAPTER 5: IMPLEMENTATION PHASE</w:t>
            </w:r>
          </w:p>
        </w:tc>
        <w:tc>
          <w:tcPr>
            <w:tcW w:type="dxa" w:w="1008"/>
          </w:tcPr>
          <w:p>
            <w:pPr>
              <w:spacing w:line="276" w:lineRule="auto" w:after="40"/>
              <w:jc w:val="right"/>
            </w:pPr>
            <w:r>
              <w:rPr>
                <w:b/>
                <w:color w:val="1E3A8A"/>
              </w:rPr>
              <w:t>26</w:t>
            </w:r>
          </w:p>
        </w:tc>
      </w:tr>
      <w:tr>
        <w:tc>
          <w:tcPr>
            <w:tcW w:type="dxa" w:w="8352"/>
          </w:tcPr>
          <w:p>
            <w:pPr>
              <w:spacing w:line="276" w:lineRule="auto" w:after="40"/>
            </w:pPr>
            <w:r>
              <w:rPr>
                <w:color w:val="334155"/>
              </w:rPr>
              <w:t xml:space="preserve">   5.1 Core System Modules &amp; Components</w:t>
            </w:r>
          </w:p>
        </w:tc>
        <w:tc>
          <w:tcPr>
            <w:tcW w:type="dxa" w:w="1008"/>
          </w:tcPr>
          <w:p>
            <w:pPr>
              <w:spacing w:line="276" w:lineRule="auto" w:after="40"/>
              <w:jc w:val="right"/>
            </w:pPr>
            <w:r>
              <w:rPr>
                <w:color w:val="334155"/>
              </w:rPr>
              <w:t>26</w:t>
            </w:r>
          </w:p>
        </w:tc>
      </w:tr>
      <w:tr>
        <w:tc>
          <w:tcPr>
            <w:tcW w:type="dxa" w:w="8352"/>
          </w:tcPr>
          <w:p>
            <w:pPr>
              <w:spacing w:line="276" w:lineRule="auto" w:after="40"/>
            </w:pPr>
            <w:r>
              <w:rPr>
                <w:color w:val="334155"/>
              </w:rPr>
              <w:t xml:space="preserve">       5.1.1 Gemma 4 Agent Framework &amp; Structured JSON Parsing</w:t>
            </w:r>
          </w:p>
        </w:tc>
        <w:tc>
          <w:tcPr>
            <w:tcW w:type="dxa" w:w="1008"/>
          </w:tcPr>
          <w:p>
            <w:pPr>
              <w:spacing w:line="276" w:lineRule="auto" w:after="40"/>
              <w:jc w:val="right"/>
            </w:pPr>
            <w:r>
              <w:rPr>
                <w:color w:val="334155"/>
              </w:rPr>
              <w:t>26</w:t>
            </w:r>
          </w:p>
        </w:tc>
      </w:tr>
      <w:tr>
        <w:tc>
          <w:tcPr>
            <w:tcW w:type="dxa" w:w="8352"/>
          </w:tcPr>
          <w:p>
            <w:pPr>
              <w:spacing w:line="276" w:lineRule="auto" w:after="40"/>
            </w:pPr>
            <w:r>
              <w:rPr>
                <w:color w:val="334155"/>
              </w:rPr>
              <w:t xml:space="preserve">       5.1.2 Orchestrator Engine &amp; Turn Management</w:t>
            </w:r>
          </w:p>
        </w:tc>
        <w:tc>
          <w:tcPr>
            <w:tcW w:type="dxa" w:w="1008"/>
          </w:tcPr>
          <w:p>
            <w:pPr>
              <w:spacing w:line="276" w:lineRule="auto" w:after="40"/>
              <w:jc w:val="right"/>
            </w:pPr>
            <w:r>
              <w:rPr>
                <w:color w:val="334155"/>
              </w:rPr>
              <w:t>28</w:t>
            </w:r>
          </w:p>
        </w:tc>
      </w:tr>
      <w:tr>
        <w:tc>
          <w:tcPr>
            <w:tcW w:type="dxa" w:w="8352"/>
          </w:tcPr>
          <w:p>
            <w:pPr>
              <w:spacing w:line="276" w:lineRule="auto" w:after="40"/>
            </w:pPr>
            <w:r>
              <w:rPr>
                <w:color w:val="334155"/>
              </w:rPr>
              <w:t xml:space="preserve">       5.1.3 Structured JSON Transcript Logging</w:t>
            </w:r>
          </w:p>
        </w:tc>
        <w:tc>
          <w:tcPr>
            <w:tcW w:type="dxa" w:w="1008"/>
          </w:tcPr>
          <w:p>
            <w:pPr>
              <w:spacing w:line="276" w:lineRule="auto" w:after="40"/>
              <w:jc w:val="right"/>
            </w:pPr>
            <w:r>
              <w:rPr>
                <w:color w:val="334155"/>
              </w:rPr>
              <w:t>29</w:t>
            </w:r>
          </w:p>
        </w:tc>
      </w:tr>
      <w:tr>
        <w:tc>
          <w:tcPr>
            <w:tcW w:type="dxa" w:w="8352"/>
          </w:tcPr>
          <w:p>
            <w:pPr>
              <w:spacing w:line="276" w:lineRule="auto" w:after="40"/>
            </w:pPr>
            <w:r>
              <w:rPr>
                <w:color w:val="334155"/>
              </w:rPr>
              <w:t xml:space="preserve">       5.1.4 Quantitative Analysis Pipeline</w:t>
            </w:r>
          </w:p>
        </w:tc>
        <w:tc>
          <w:tcPr>
            <w:tcW w:type="dxa" w:w="1008"/>
          </w:tcPr>
          <w:p>
            <w:pPr>
              <w:spacing w:line="276" w:lineRule="auto" w:after="40"/>
              <w:jc w:val="right"/>
            </w:pPr>
            <w:r>
              <w:rPr>
                <w:color w:val="334155"/>
              </w:rPr>
              <w:t>30</w:t>
            </w:r>
          </w:p>
        </w:tc>
      </w:tr>
      <w:tr>
        <w:tc>
          <w:tcPr>
            <w:tcW w:type="dxa" w:w="8352"/>
          </w:tcPr>
          <w:p>
            <w:pPr>
              <w:spacing w:line="276" w:lineRule="auto" w:after="40"/>
            </w:pPr>
            <w:r>
              <w:rPr>
                <w:color w:val="334155"/>
              </w:rPr>
              <w:t xml:space="preserve">   5.2 Interactive Demonstration Web Dashboard (Streamlit GUI)</w:t>
            </w:r>
          </w:p>
        </w:tc>
        <w:tc>
          <w:tcPr>
            <w:tcW w:type="dxa" w:w="1008"/>
          </w:tcPr>
          <w:p>
            <w:pPr>
              <w:spacing w:line="276" w:lineRule="auto" w:after="40"/>
              <w:jc w:val="right"/>
            </w:pPr>
            <w:r>
              <w:rPr>
                <w:color w:val="334155"/>
              </w:rPr>
              <w:t>31</w:t>
            </w:r>
          </w:p>
        </w:tc>
      </w:tr>
      <w:tr>
        <w:tc>
          <w:tcPr>
            <w:tcW w:type="dxa" w:w="8352"/>
          </w:tcPr>
          <w:p>
            <w:pPr>
              <w:spacing w:line="276" w:lineRule="auto" w:after="40"/>
            </w:pPr>
            <w:r>
              <w:rPr>
                <w:b/>
                <w:color w:val="1E3A8A"/>
              </w:rPr>
              <w:t>CHAPTER 6: EXPERIMENTAL RESULTS &amp; DISCUSSION</w:t>
            </w:r>
          </w:p>
        </w:tc>
        <w:tc>
          <w:tcPr>
            <w:tcW w:type="dxa" w:w="1008"/>
          </w:tcPr>
          <w:p>
            <w:pPr>
              <w:spacing w:line="276" w:lineRule="auto" w:after="40"/>
              <w:jc w:val="right"/>
            </w:pPr>
            <w:r>
              <w:rPr>
                <w:b/>
                <w:color w:val="1E3A8A"/>
              </w:rPr>
              <w:t>33</w:t>
            </w:r>
          </w:p>
        </w:tc>
      </w:tr>
      <w:tr>
        <w:tc>
          <w:tcPr>
            <w:tcW w:type="dxa" w:w="8352"/>
          </w:tcPr>
          <w:p>
            <w:pPr>
              <w:spacing w:line="276" w:lineRule="auto" w:after="40"/>
            </w:pPr>
            <w:r>
              <w:rPr>
                <w:color w:val="334155"/>
              </w:rPr>
              <w:t xml:space="preserve">   6.1 Experimental Setup &amp; Factorial Matrix</w:t>
            </w:r>
          </w:p>
        </w:tc>
        <w:tc>
          <w:tcPr>
            <w:tcW w:type="dxa" w:w="1008"/>
          </w:tcPr>
          <w:p>
            <w:pPr>
              <w:spacing w:line="276" w:lineRule="auto" w:after="40"/>
              <w:jc w:val="right"/>
            </w:pPr>
            <w:r>
              <w:rPr>
                <w:color w:val="334155"/>
              </w:rPr>
              <w:t>33</w:t>
            </w:r>
          </w:p>
        </w:tc>
      </w:tr>
      <w:tr>
        <w:tc>
          <w:tcPr>
            <w:tcW w:type="dxa" w:w="8352"/>
          </w:tcPr>
          <w:p>
            <w:pPr>
              <w:spacing w:line="276" w:lineRule="auto" w:after="40"/>
            </w:pPr>
            <w:r>
              <w:rPr>
                <w:color w:val="334155"/>
              </w:rPr>
              <w:t xml:space="preserve">   6.2 Empirical Evaluation &amp; Metrics</w:t>
            </w:r>
          </w:p>
        </w:tc>
        <w:tc>
          <w:tcPr>
            <w:tcW w:type="dxa" w:w="1008"/>
          </w:tcPr>
          <w:p>
            <w:pPr>
              <w:spacing w:line="276" w:lineRule="auto" w:after="40"/>
              <w:jc w:val="right"/>
            </w:pPr>
            <w:r>
              <w:rPr>
                <w:color w:val="334155"/>
              </w:rPr>
              <w:t>34</w:t>
            </w:r>
          </w:p>
        </w:tc>
      </w:tr>
      <w:tr>
        <w:tc>
          <w:tcPr>
            <w:tcW w:type="dxa" w:w="8352"/>
          </w:tcPr>
          <w:p>
            <w:pPr>
              <w:spacing w:line="276" w:lineRule="auto" w:after="40"/>
            </w:pPr>
            <w:r>
              <w:rPr>
                <w:color w:val="334155"/>
              </w:rPr>
              <w:t xml:space="preserve">       6.2.1 Deal Success Rate Across Persona Combinations</w:t>
            </w:r>
          </w:p>
        </w:tc>
        <w:tc>
          <w:tcPr>
            <w:tcW w:type="dxa" w:w="1008"/>
          </w:tcPr>
          <w:p>
            <w:pPr>
              <w:spacing w:line="276" w:lineRule="auto" w:after="40"/>
              <w:jc w:val="right"/>
            </w:pPr>
            <w:r>
              <w:rPr>
                <w:color w:val="334155"/>
              </w:rPr>
              <w:t>34</w:t>
            </w:r>
          </w:p>
        </w:tc>
      </w:tr>
      <w:tr>
        <w:tc>
          <w:tcPr>
            <w:tcW w:type="dxa" w:w="8352"/>
          </w:tcPr>
          <w:p>
            <w:pPr>
              <w:spacing w:line="276" w:lineRule="auto" w:after="40"/>
            </w:pPr>
            <w:r>
              <w:rPr>
                <w:color w:val="334155"/>
              </w:rPr>
              <w:t xml:space="preserve">       6.2.2 Economic Surplus Split &amp; Division of Value</w:t>
            </w:r>
          </w:p>
        </w:tc>
        <w:tc>
          <w:tcPr>
            <w:tcW w:type="dxa" w:w="1008"/>
          </w:tcPr>
          <w:p>
            <w:pPr>
              <w:spacing w:line="276" w:lineRule="auto" w:after="40"/>
              <w:jc w:val="right"/>
            </w:pPr>
            <w:r>
              <w:rPr>
                <w:color w:val="334155"/>
              </w:rPr>
              <w:t>35</w:t>
            </w:r>
          </w:p>
        </w:tc>
      </w:tr>
      <w:tr>
        <w:tc>
          <w:tcPr>
            <w:tcW w:type="dxa" w:w="8352"/>
          </w:tcPr>
          <w:p>
            <w:pPr>
              <w:spacing w:line="276" w:lineRule="auto" w:after="40"/>
            </w:pPr>
            <w:r>
              <w:rPr>
                <w:color w:val="334155"/>
              </w:rPr>
              <w:t xml:space="preserve">       6.2.3 Rounds to Convergence (Negotiation Velocity)</w:t>
            </w:r>
          </w:p>
        </w:tc>
        <w:tc>
          <w:tcPr>
            <w:tcW w:type="dxa" w:w="1008"/>
          </w:tcPr>
          <w:p>
            <w:pPr>
              <w:spacing w:line="276" w:lineRule="auto" w:after="40"/>
              <w:jc w:val="right"/>
            </w:pPr>
            <w:r>
              <w:rPr>
                <w:color w:val="334155"/>
              </w:rPr>
              <w:t>37</w:t>
            </w:r>
          </w:p>
        </w:tc>
      </w:tr>
      <w:tr>
        <w:tc>
          <w:tcPr>
            <w:tcW w:type="dxa" w:w="8352"/>
          </w:tcPr>
          <w:p>
            <w:pPr>
              <w:spacing w:line="276" w:lineRule="auto" w:after="40"/>
            </w:pPr>
            <w:r>
              <w:rPr>
                <w:color w:val="334155"/>
              </w:rPr>
              <w:t xml:space="preserve">       6.2.4 Pareto Efficiency &amp; Bargaining Rationality</w:t>
            </w:r>
          </w:p>
        </w:tc>
        <w:tc>
          <w:tcPr>
            <w:tcW w:type="dxa" w:w="1008"/>
          </w:tcPr>
          <w:p>
            <w:pPr>
              <w:spacing w:line="276" w:lineRule="auto" w:after="40"/>
              <w:jc w:val="right"/>
            </w:pPr>
            <w:r>
              <w:rPr>
                <w:color w:val="334155"/>
              </w:rPr>
              <w:t>38</w:t>
            </w:r>
          </w:p>
        </w:tc>
      </w:tr>
      <w:tr>
        <w:tc>
          <w:tcPr>
            <w:tcW w:type="dxa" w:w="8352"/>
          </w:tcPr>
          <w:p>
            <w:pPr>
              <w:spacing w:line="276" w:lineRule="auto" w:after="40"/>
            </w:pPr>
            <w:r>
              <w:rPr>
                <w:color w:val="334155"/>
              </w:rPr>
              <w:t xml:space="preserve">   6.3 Impact of Information Asymmetry</w:t>
            </w:r>
          </w:p>
        </w:tc>
        <w:tc>
          <w:tcPr>
            <w:tcW w:type="dxa" w:w="1008"/>
          </w:tcPr>
          <w:p>
            <w:pPr>
              <w:spacing w:line="276" w:lineRule="auto" w:after="40"/>
              <w:jc w:val="right"/>
            </w:pPr>
            <w:r>
              <w:rPr>
                <w:color w:val="334155"/>
              </w:rPr>
              <w:t>39</w:t>
            </w:r>
          </w:p>
        </w:tc>
      </w:tr>
      <w:tr>
        <w:tc>
          <w:tcPr>
            <w:tcW w:type="dxa" w:w="8352"/>
          </w:tcPr>
          <w:p>
            <w:pPr>
              <w:spacing w:line="276" w:lineRule="auto" w:after="40"/>
            </w:pPr>
            <w:r>
              <w:rPr>
                <w:color w:val="334155"/>
              </w:rPr>
              <w:t xml:space="preserve">   6.4 Behavioral Dynamics &amp; Strategic Insights</w:t>
            </w:r>
          </w:p>
        </w:tc>
        <w:tc>
          <w:tcPr>
            <w:tcW w:type="dxa" w:w="1008"/>
          </w:tcPr>
          <w:p>
            <w:pPr>
              <w:spacing w:line="276" w:lineRule="auto" w:after="40"/>
              <w:jc w:val="right"/>
            </w:pPr>
            <w:r>
              <w:rPr>
                <w:color w:val="334155"/>
              </w:rPr>
              <w:t>40</w:t>
            </w:r>
          </w:p>
        </w:tc>
      </w:tr>
      <w:tr>
        <w:tc>
          <w:tcPr>
            <w:tcW w:type="dxa" w:w="8352"/>
          </w:tcPr>
          <w:p>
            <w:pPr>
              <w:spacing w:line="276" w:lineRule="auto" w:after="40"/>
            </w:pPr>
            <w:r>
              <w:rPr>
                <w:b/>
                <w:color w:val="1E3A8A"/>
              </w:rPr>
              <w:t>CHAPTER 7: CONCLUSIONS &amp; FUTURE SCOPE</w:t>
            </w:r>
          </w:p>
        </w:tc>
        <w:tc>
          <w:tcPr>
            <w:tcW w:type="dxa" w:w="1008"/>
          </w:tcPr>
          <w:p>
            <w:pPr>
              <w:spacing w:line="276" w:lineRule="auto" w:after="40"/>
              <w:jc w:val="right"/>
            </w:pPr>
            <w:r>
              <w:rPr>
                <w:b/>
                <w:color w:val="1E3A8A"/>
              </w:rPr>
              <w:t>42</w:t>
            </w:r>
          </w:p>
        </w:tc>
      </w:tr>
      <w:tr>
        <w:tc>
          <w:tcPr>
            <w:tcW w:type="dxa" w:w="8352"/>
          </w:tcPr>
          <w:p>
            <w:pPr>
              <w:spacing w:line="276" w:lineRule="auto" w:after="40"/>
            </w:pPr>
            <w:r>
              <w:rPr>
                <w:color w:val="334155"/>
              </w:rPr>
              <w:t xml:space="preserve">   7.1 Summary of Accomplishments</w:t>
            </w:r>
          </w:p>
        </w:tc>
        <w:tc>
          <w:tcPr>
            <w:tcW w:type="dxa" w:w="1008"/>
          </w:tcPr>
          <w:p>
            <w:pPr>
              <w:spacing w:line="276" w:lineRule="auto" w:after="40"/>
              <w:jc w:val="right"/>
            </w:pPr>
            <w:r>
              <w:rPr>
                <w:color w:val="334155"/>
              </w:rPr>
              <w:t>42</w:t>
            </w:r>
          </w:p>
        </w:tc>
      </w:tr>
      <w:tr>
        <w:tc>
          <w:tcPr>
            <w:tcW w:type="dxa" w:w="8352"/>
          </w:tcPr>
          <w:p>
            <w:pPr>
              <w:spacing w:line="276" w:lineRule="auto" w:after="40"/>
            </w:pPr>
            <w:r>
              <w:rPr>
                <w:color w:val="334155"/>
              </w:rPr>
              <w:t xml:space="preserve">   7.2 Limitations of Current Study</w:t>
            </w:r>
          </w:p>
        </w:tc>
        <w:tc>
          <w:tcPr>
            <w:tcW w:type="dxa" w:w="1008"/>
          </w:tcPr>
          <w:p>
            <w:pPr>
              <w:spacing w:line="276" w:lineRule="auto" w:after="40"/>
              <w:jc w:val="right"/>
            </w:pPr>
            <w:r>
              <w:rPr>
                <w:color w:val="334155"/>
              </w:rPr>
              <w:t>43</w:t>
            </w:r>
          </w:p>
        </w:tc>
      </w:tr>
      <w:tr>
        <w:tc>
          <w:tcPr>
            <w:tcW w:type="dxa" w:w="8352"/>
          </w:tcPr>
          <w:p>
            <w:pPr>
              <w:spacing w:line="276" w:lineRule="auto" w:after="40"/>
            </w:pPr>
            <w:r>
              <w:rPr>
                <w:color w:val="334155"/>
              </w:rPr>
              <w:t xml:space="preserve">   7.3 Future Research Directions</w:t>
            </w:r>
          </w:p>
        </w:tc>
        <w:tc>
          <w:tcPr>
            <w:tcW w:type="dxa" w:w="1008"/>
          </w:tcPr>
          <w:p>
            <w:pPr>
              <w:spacing w:line="276" w:lineRule="auto" w:after="40"/>
              <w:jc w:val="right"/>
            </w:pPr>
            <w:r>
              <w:rPr>
                <w:color w:val="334155"/>
              </w:rPr>
              <w:t>44</w:t>
            </w:r>
          </w:p>
        </w:tc>
      </w:tr>
      <w:tr>
        <w:tc>
          <w:tcPr>
            <w:tcW w:type="dxa" w:w="8352"/>
          </w:tcPr>
          <w:p>
            <w:pPr>
              <w:spacing w:line="276" w:lineRule="auto" w:after="40"/>
            </w:pPr>
            <w:r>
              <w:rPr>
                <w:color w:val="334155"/>
              </w:rPr>
              <w:t>REFERENCES</w:t>
            </w:r>
          </w:p>
        </w:tc>
        <w:tc>
          <w:tcPr>
            <w:tcW w:type="dxa" w:w="1008"/>
          </w:tcPr>
          <w:p>
            <w:pPr>
              <w:spacing w:line="276" w:lineRule="auto" w:after="40"/>
              <w:jc w:val="right"/>
            </w:pPr>
            <w:r>
              <w:rPr>
                <w:color w:val="334155"/>
              </w:rPr>
              <w:t>45</w:t>
            </w:r>
          </w:p>
        </w:tc>
      </w:tr>
    </w:tbl>
    <w:p>
      <w:r>
        <w:br w:type="page"/>
      </w:r>
    </w:p>
    <w:p>
      <w:pPr>
        <w:spacing w:before="0" w:after="200" w:line="276" w:lineRule="auto"/>
        <w:jc w:val="center"/>
      </w:pPr>
      <w:r>
        <w:rPr>
          <w:rFonts w:ascii="Times New Roman" w:hAnsi="Times New Roman"/>
          <w:b/>
          <w:color w:val="1E3A8A"/>
          <w:sz w:val="30"/>
        </w:rPr>
        <w:t>LIST OF FIGURES</w:t>
      </w:r>
    </w:p>
    <w:tbl>
      <w:tblPr>
        <w:tblW w:type="auto" w:w="0"/>
        <w:jc w:val="center"/>
        <w:tblLook w:firstColumn="1" w:firstRow="1" w:lastColumn="0" w:lastRow="0" w:noHBand="0" w:noVBand="1" w:val="04A0"/>
      </w:tblPr>
      <w:tblGrid>
        <w:gridCol w:w="3120"/>
        <w:gridCol w:w="3120"/>
        <w:gridCol w:w="3120"/>
      </w:tblGrid>
      <w:tr>
        <w:tc>
          <w:tcPr>
            <w:tcW w:type="dxa" w:w="1872"/>
          </w:tcPr>
          <w:p>
            <w:pPr>
              <w:spacing w:after="40"/>
            </w:pPr>
            <w:r>
              <w:rPr>
                <w:rFonts w:ascii="Times New Roman" w:hAnsi="Times New Roman"/>
                <w:color w:val="334155"/>
                <w:sz w:val="21"/>
              </w:rPr>
              <w:t>Figure 4.1</w:t>
            </w:r>
          </w:p>
        </w:tc>
        <w:tc>
          <w:tcPr>
            <w:tcW w:type="dxa" w:w="6480"/>
          </w:tcPr>
          <w:p>
            <w:pPr>
              <w:spacing w:after="40"/>
            </w:pPr>
            <w:r>
              <w:rPr>
                <w:rFonts w:ascii="Times New Roman" w:hAnsi="Times New Roman"/>
                <w:color w:val="334155"/>
                <w:sz w:val="21"/>
              </w:rPr>
              <w:t>Concord Multi-Agent Negotiation Architecture</w:t>
            </w:r>
          </w:p>
        </w:tc>
        <w:tc>
          <w:tcPr>
            <w:tcW w:type="dxa" w:w="1008"/>
          </w:tcPr>
          <w:p>
            <w:pPr>
              <w:spacing w:after="40"/>
            </w:pPr>
            <w:r>
              <w:rPr>
                <w:rFonts w:ascii="Times New Roman" w:hAnsi="Times New Roman"/>
                <w:color w:val="334155"/>
                <w:sz w:val="21"/>
              </w:rPr>
              <w:t>17</w:t>
            </w:r>
          </w:p>
        </w:tc>
      </w:tr>
      <w:tr>
        <w:tc>
          <w:tcPr>
            <w:tcW w:type="dxa" w:w="1872"/>
          </w:tcPr>
          <w:p>
            <w:pPr>
              <w:spacing w:after="40"/>
            </w:pPr>
            <w:r>
              <w:rPr>
                <w:rFonts w:ascii="Times New Roman" w:hAnsi="Times New Roman"/>
                <w:color w:val="334155"/>
                <w:sz w:val="21"/>
              </w:rPr>
              <w:t>Figure 4.2</w:t>
            </w:r>
          </w:p>
        </w:tc>
        <w:tc>
          <w:tcPr>
            <w:tcW w:type="dxa" w:w="6480"/>
          </w:tcPr>
          <w:p>
            <w:pPr>
              <w:spacing w:after="40"/>
            </w:pPr>
            <w:r>
              <w:rPr>
                <w:rFonts w:ascii="Times New Roman" w:hAnsi="Times New Roman"/>
                <w:color w:val="334155"/>
                <w:sz w:val="21"/>
              </w:rPr>
              <w:t>Concord System Use Case Diagram</w:t>
            </w:r>
          </w:p>
        </w:tc>
        <w:tc>
          <w:tcPr>
            <w:tcW w:type="dxa" w:w="1008"/>
          </w:tcPr>
          <w:p>
            <w:pPr>
              <w:spacing w:after="40"/>
            </w:pPr>
            <w:r>
              <w:rPr>
                <w:rFonts w:ascii="Times New Roman" w:hAnsi="Times New Roman"/>
                <w:color w:val="334155"/>
                <w:sz w:val="21"/>
              </w:rPr>
              <w:t>19</w:t>
            </w:r>
          </w:p>
        </w:tc>
      </w:tr>
      <w:tr>
        <w:tc>
          <w:tcPr>
            <w:tcW w:type="dxa" w:w="1872"/>
          </w:tcPr>
          <w:p>
            <w:pPr>
              <w:spacing w:after="40"/>
            </w:pPr>
            <w:r>
              <w:rPr>
                <w:rFonts w:ascii="Times New Roman" w:hAnsi="Times New Roman"/>
                <w:color w:val="334155"/>
                <w:sz w:val="21"/>
              </w:rPr>
              <w:t>Figure 4.3</w:t>
            </w:r>
          </w:p>
        </w:tc>
        <w:tc>
          <w:tcPr>
            <w:tcW w:type="dxa" w:w="6480"/>
          </w:tcPr>
          <w:p>
            <w:pPr>
              <w:spacing w:after="40"/>
            </w:pPr>
            <w:r>
              <w:rPr>
                <w:rFonts w:ascii="Times New Roman" w:hAnsi="Times New Roman"/>
                <w:color w:val="334155"/>
                <w:sz w:val="21"/>
              </w:rPr>
              <w:t>Turn-by-Turn Bilateral Negotiation Sequence Diagram</w:t>
            </w:r>
          </w:p>
        </w:tc>
        <w:tc>
          <w:tcPr>
            <w:tcW w:type="dxa" w:w="1008"/>
          </w:tcPr>
          <w:p>
            <w:pPr>
              <w:spacing w:after="40"/>
            </w:pPr>
            <w:r>
              <w:rPr>
                <w:rFonts w:ascii="Times New Roman" w:hAnsi="Times New Roman"/>
                <w:color w:val="334155"/>
                <w:sz w:val="21"/>
              </w:rPr>
              <w:t>21</w:t>
            </w:r>
          </w:p>
        </w:tc>
      </w:tr>
      <w:tr>
        <w:tc>
          <w:tcPr>
            <w:tcW w:type="dxa" w:w="1872"/>
          </w:tcPr>
          <w:p>
            <w:pPr>
              <w:spacing w:after="40"/>
            </w:pPr>
            <w:r>
              <w:rPr>
                <w:rFonts w:ascii="Times New Roman" w:hAnsi="Times New Roman"/>
                <w:color w:val="334155"/>
                <w:sz w:val="21"/>
              </w:rPr>
              <w:t>Figure 4.4</w:t>
            </w:r>
          </w:p>
        </w:tc>
        <w:tc>
          <w:tcPr>
            <w:tcW w:type="dxa" w:w="6480"/>
          </w:tcPr>
          <w:p>
            <w:pPr>
              <w:spacing w:after="40"/>
            </w:pPr>
            <w:r>
              <w:rPr>
                <w:rFonts w:ascii="Times New Roman" w:hAnsi="Times New Roman"/>
                <w:color w:val="334155"/>
                <w:sz w:val="21"/>
              </w:rPr>
              <w:t>Negotiation Protocol State Machine Diagram</w:t>
            </w:r>
          </w:p>
        </w:tc>
        <w:tc>
          <w:tcPr>
            <w:tcW w:type="dxa" w:w="1008"/>
          </w:tcPr>
          <w:p>
            <w:pPr>
              <w:spacing w:after="40"/>
            </w:pPr>
            <w:r>
              <w:rPr>
                <w:rFonts w:ascii="Times New Roman" w:hAnsi="Times New Roman"/>
                <w:color w:val="334155"/>
                <w:sz w:val="21"/>
              </w:rPr>
              <w:t>23</w:t>
            </w:r>
          </w:p>
        </w:tc>
      </w:tr>
      <w:tr>
        <w:tc>
          <w:tcPr>
            <w:tcW w:type="dxa" w:w="1872"/>
          </w:tcPr>
          <w:p>
            <w:pPr>
              <w:spacing w:after="40"/>
            </w:pPr>
            <w:r>
              <w:rPr>
                <w:rFonts w:ascii="Times New Roman" w:hAnsi="Times New Roman"/>
                <w:color w:val="334155"/>
                <w:sz w:val="21"/>
              </w:rPr>
              <w:t>Figure 5.1</w:t>
            </w:r>
          </w:p>
        </w:tc>
        <w:tc>
          <w:tcPr>
            <w:tcW w:type="dxa" w:w="6480"/>
          </w:tcPr>
          <w:p>
            <w:pPr>
              <w:spacing w:after="40"/>
            </w:pPr>
            <w:r>
              <w:rPr>
                <w:rFonts w:ascii="Times New Roman" w:hAnsi="Times New Roman"/>
                <w:color w:val="334155"/>
                <w:sz w:val="21"/>
              </w:rPr>
              <w:t>Streamlit Multi-Page Web Interface (Live Simulation View)</w:t>
            </w:r>
          </w:p>
        </w:tc>
        <w:tc>
          <w:tcPr>
            <w:tcW w:type="dxa" w:w="1008"/>
          </w:tcPr>
          <w:p>
            <w:pPr>
              <w:spacing w:after="40"/>
            </w:pPr>
            <w:r>
              <w:rPr>
                <w:rFonts w:ascii="Times New Roman" w:hAnsi="Times New Roman"/>
                <w:color w:val="334155"/>
                <w:sz w:val="21"/>
              </w:rPr>
              <w:t>32</w:t>
            </w:r>
          </w:p>
        </w:tc>
      </w:tr>
      <w:tr>
        <w:tc>
          <w:tcPr>
            <w:tcW w:type="dxa" w:w="1872"/>
          </w:tcPr>
          <w:p>
            <w:pPr>
              <w:spacing w:after="40"/>
            </w:pPr>
            <w:r>
              <w:rPr>
                <w:rFonts w:ascii="Times New Roman" w:hAnsi="Times New Roman"/>
                <w:color w:val="334155"/>
                <w:sz w:val="21"/>
              </w:rPr>
              <w:t>Figure 6.1</w:t>
            </w:r>
          </w:p>
        </w:tc>
        <w:tc>
          <w:tcPr>
            <w:tcW w:type="dxa" w:w="6480"/>
          </w:tcPr>
          <w:p>
            <w:pPr>
              <w:spacing w:after="40"/>
            </w:pPr>
            <w:r>
              <w:rPr>
                <w:rFonts w:ascii="Times New Roman" w:hAnsi="Times New Roman"/>
                <w:color w:val="334155"/>
                <w:sz w:val="21"/>
              </w:rPr>
              <w:t>Deal Success Rate by Persona Pair (Empirical Distribution)</w:t>
            </w:r>
          </w:p>
        </w:tc>
        <w:tc>
          <w:tcPr>
            <w:tcW w:type="dxa" w:w="1008"/>
          </w:tcPr>
          <w:p>
            <w:pPr>
              <w:spacing w:after="40"/>
            </w:pPr>
            <w:r>
              <w:rPr>
                <w:rFonts w:ascii="Times New Roman" w:hAnsi="Times New Roman"/>
                <w:color w:val="334155"/>
                <w:sz w:val="21"/>
              </w:rPr>
              <w:t>35</w:t>
            </w:r>
          </w:p>
        </w:tc>
      </w:tr>
      <w:tr>
        <w:tc>
          <w:tcPr>
            <w:tcW w:type="dxa" w:w="1872"/>
          </w:tcPr>
          <w:p>
            <w:pPr>
              <w:spacing w:after="40"/>
            </w:pPr>
            <w:r>
              <w:rPr>
                <w:rFonts w:ascii="Times New Roman" w:hAnsi="Times New Roman"/>
                <w:color w:val="334155"/>
                <w:sz w:val="21"/>
              </w:rPr>
              <w:t>Figure 6.2</w:t>
            </w:r>
          </w:p>
        </w:tc>
        <w:tc>
          <w:tcPr>
            <w:tcW w:type="dxa" w:w="6480"/>
          </w:tcPr>
          <w:p>
            <w:pPr>
              <w:spacing w:after="40"/>
            </w:pPr>
            <w:r>
              <w:rPr>
                <w:rFonts w:ascii="Times New Roman" w:hAnsi="Times New Roman"/>
                <w:color w:val="334155"/>
                <w:sz w:val="21"/>
              </w:rPr>
              <w:t>Economic Surplus Distribution Across Persona Pairings</w:t>
            </w:r>
          </w:p>
        </w:tc>
        <w:tc>
          <w:tcPr>
            <w:tcW w:type="dxa" w:w="1008"/>
          </w:tcPr>
          <w:p>
            <w:pPr>
              <w:spacing w:after="40"/>
            </w:pPr>
            <w:r>
              <w:rPr>
                <w:rFonts w:ascii="Times New Roman" w:hAnsi="Times New Roman"/>
                <w:color w:val="334155"/>
                <w:sz w:val="21"/>
              </w:rPr>
              <w:t>36</w:t>
            </w:r>
          </w:p>
        </w:tc>
      </w:tr>
      <w:tr>
        <w:tc>
          <w:tcPr>
            <w:tcW w:type="dxa" w:w="1872"/>
          </w:tcPr>
          <w:p>
            <w:pPr>
              <w:spacing w:after="40"/>
            </w:pPr>
            <w:r>
              <w:rPr>
                <w:rFonts w:ascii="Times New Roman" w:hAnsi="Times New Roman"/>
                <w:color w:val="334155"/>
                <w:sz w:val="21"/>
              </w:rPr>
              <w:t>Figure 6.3</w:t>
            </w:r>
          </w:p>
        </w:tc>
        <w:tc>
          <w:tcPr>
            <w:tcW w:type="dxa" w:w="6480"/>
          </w:tcPr>
          <w:p>
            <w:pPr>
              <w:spacing w:after="40"/>
            </w:pPr>
            <w:r>
              <w:rPr>
                <w:rFonts w:ascii="Times New Roman" w:hAnsi="Times New Roman"/>
                <w:color w:val="334155"/>
                <w:sz w:val="21"/>
              </w:rPr>
              <w:t>Rounds to Convergence Distribution (Turn Velocity)</w:t>
            </w:r>
          </w:p>
        </w:tc>
        <w:tc>
          <w:tcPr>
            <w:tcW w:type="dxa" w:w="1008"/>
          </w:tcPr>
          <w:p>
            <w:pPr>
              <w:spacing w:after="40"/>
            </w:pPr>
            <w:r>
              <w:rPr>
                <w:rFonts w:ascii="Times New Roman" w:hAnsi="Times New Roman"/>
                <w:color w:val="334155"/>
                <w:sz w:val="21"/>
              </w:rPr>
              <w:t>37</w:t>
            </w:r>
          </w:p>
        </w:tc>
      </w:tr>
      <w:tr>
        <w:tc>
          <w:tcPr>
            <w:tcW w:type="dxa" w:w="1872"/>
          </w:tcPr>
          <w:p>
            <w:pPr>
              <w:spacing w:after="40"/>
            </w:pPr>
            <w:r>
              <w:rPr>
                <w:rFonts w:ascii="Times New Roman" w:hAnsi="Times New Roman"/>
                <w:color w:val="334155"/>
                <w:sz w:val="21"/>
              </w:rPr>
              <w:t>Figure 6.4</w:t>
            </w:r>
          </w:p>
        </w:tc>
        <w:tc>
          <w:tcPr>
            <w:tcW w:type="dxa" w:w="6480"/>
          </w:tcPr>
          <w:p>
            <w:pPr>
              <w:spacing w:after="40"/>
            </w:pPr>
            <w:r>
              <w:rPr>
                <w:rFonts w:ascii="Times New Roman" w:hAnsi="Times New Roman"/>
                <w:color w:val="334155"/>
                <w:sz w:val="21"/>
              </w:rPr>
              <w:t>Bilateral Deal Success Heatmap (Buyer × Seller Matrix)</w:t>
            </w:r>
          </w:p>
        </w:tc>
        <w:tc>
          <w:tcPr>
            <w:tcW w:type="dxa" w:w="1008"/>
          </w:tcPr>
          <w:p>
            <w:pPr>
              <w:spacing w:after="40"/>
            </w:pPr>
            <w:r>
              <w:rPr>
                <w:rFonts w:ascii="Times New Roman" w:hAnsi="Times New Roman"/>
                <w:color w:val="334155"/>
                <w:sz w:val="21"/>
              </w:rPr>
              <w:t>39</w:t>
            </w:r>
          </w:p>
        </w:tc>
      </w:tr>
    </w:tbl>
    <w:p>
      <w:pPr>
        <w:spacing w:before="320" w:after="200" w:line="276" w:lineRule="auto"/>
        <w:jc w:val="center"/>
      </w:pPr>
      <w:r>
        <w:rPr>
          <w:rFonts w:ascii="Times New Roman" w:hAnsi="Times New Roman"/>
          <w:b/>
          <w:color w:val="1E3A8A"/>
          <w:sz w:val="30"/>
        </w:rPr>
        <w:t>LIST OF TABLES</w:t>
      </w:r>
    </w:p>
    <w:tbl>
      <w:tblPr>
        <w:tblW w:type="auto" w:w="0"/>
        <w:jc w:val="center"/>
        <w:tblLook w:firstColumn="1" w:firstRow="1" w:lastColumn="0" w:lastRow="0" w:noHBand="0" w:noVBand="1" w:val="04A0"/>
      </w:tblPr>
      <w:tblGrid>
        <w:gridCol w:w="3120"/>
        <w:gridCol w:w="3120"/>
        <w:gridCol w:w="3120"/>
      </w:tblGrid>
      <w:tr>
        <w:tc>
          <w:tcPr>
            <w:tcW w:type="dxa" w:w="1872"/>
          </w:tcPr>
          <w:p>
            <w:pPr>
              <w:spacing w:after="40"/>
            </w:pPr>
            <w:r>
              <w:rPr>
                <w:rFonts w:ascii="Times New Roman" w:hAnsi="Times New Roman"/>
                <w:color w:val="334155"/>
                <w:sz w:val="21"/>
              </w:rPr>
              <w:t>Table 3.1</w:t>
            </w:r>
          </w:p>
        </w:tc>
        <w:tc>
          <w:tcPr>
            <w:tcW w:type="dxa" w:w="6480"/>
          </w:tcPr>
          <w:p>
            <w:pPr>
              <w:spacing w:after="40"/>
            </w:pPr>
            <w:r>
              <w:rPr>
                <w:rFonts w:ascii="Times New Roman" w:hAnsi="Times New Roman"/>
                <w:color w:val="334155"/>
                <w:sz w:val="21"/>
              </w:rPr>
              <w:t>Hardware Environment Specifications</w:t>
            </w:r>
          </w:p>
        </w:tc>
        <w:tc>
          <w:tcPr>
            <w:tcW w:type="dxa" w:w="1008"/>
          </w:tcPr>
          <w:p>
            <w:pPr>
              <w:spacing w:after="40"/>
            </w:pPr>
            <w:r>
              <w:rPr>
                <w:rFonts w:ascii="Times New Roman" w:hAnsi="Times New Roman"/>
                <w:color w:val="334155"/>
                <w:sz w:val="21"/>
              </w:rPr>
              <w:t>11</w:t>
            </w:r>
          </w:p>
        </w:tc>
      </w:tr>
      <w:tr>
        <w:tc>
          <w:tcPr>
            <w:tcW w:type="dxa" w:w="1872"/>
          </w:tcPr>
          <w:p>
            <w:pPr>
              <w:spacing w:after="40"/>
            </w:pPr>
            <w:r>
              <w:rPr>
                <w:rFonts w:ascii="Times New Roman" w:hAnsi="Times New Roman"/>
                <w:color w:val="334155"/>
                <w:sz w:val="21"/>
              </w:rPr>
              <w:t>Table 3.2</w:t>
            </w:r>
          </w:p>
        </w:tc>
        <w:tc>
          <w:tcPr>
            <w:tcW w:type="dxa" w:w="6480"/>
          </w:tcPr>
          <w:p>
            <w:pPr>
              <w:spacing w:after="40"/>
            </w:pPr>
            <w:r>
              <w:rPr>
                <w:rFonts w:ascii="Times New Roman" w:hAnsi="Times New Roman"/>
                <w:color w:val="334155"/>
                <w:sz w:val="21"/>
              </w:rPr>
              <w:t>Software Environment Specifications</w:t>
            </w:r>
          </w:p>
        </w:tc>
        <w:tc>
          <w:tcPr>
            <w:tcW w:type="dxa" w:w="1008"/>
          </w:tcPr>
          <w:p>
            <w:pPr>
              <w:spacing w:after="40"/>
            </w:pPr>
            <w:r>
              <w:rPr>
                <w:rFonts w:ascii="Times New Roman" w:hAnsi="Times New Roman"/>
                <w:color w:val="334155"/>
                <w:sz w:val="21"/>
              </w:rPr>
              <w:t>12</w:t>
            </w:r>
          </w:p>
        </w:tc>
      </w:tr>
      <w:tr>
        <w:tc>
          <w:tcPr>
            <w:tcW w:type="dxa" w:w="1872"/>
          </w:tcPr>
          <w:p>
            <w:pPr>
              <w:spacing w:after="40"/>
            </w:pPr>
            <w:r>
              <w:rPr>
                <w:rFonts w:ascii="Times New Roman" w:hAnsi="Times New Roman"/>
                <w:color w:val="334155"/>
                <w:sz w:val="21"/>
              </w:rPr>
              <w:t>Table 4.1</w:t>
            </w:r>
          </w:p>
        </w:tc>
        <w:tc>
          <w:tcPr>
            <w:tcW w:type="dxa" w:w="6480"/>
          </w:tcPr>
          <w:p>
            <w:pPr>
              <w:spacing w:after="40"/>
            </w:pPr>
            <w:r>
              <w:rPr>
                <w:rFonts w:ascii="Times New Roman" w:hAnsi="Times New Roman"/>
                <w:color w:val="334155"/>
                <w:sz w:val="21"/>
              </w:rPr>
              <w:t>Core Data Contract Dataclasses &amp; Field Attributes</w:t>
            </w:r>
          </w:p>
        </w:tc>
        <w:tc>
          <w:tcPr>
            <w:tcW w:type="dxa" w:w="1008"/>
          </w:tcPr>
          <w:p>
            <w:pPr>
              <w:spacing w:after="40"/>
            </w:pPr>
            <w:r>
              <w:rPr>
                <w:rFonts w:ascii="Times New Roman" w:hAnsi="Times New Roman"/>
                <w:color w:val="334155"/>
                <w:sz w:val="21"/>
              </w:rPr>
              <w:t>25</w:t>
            </w:r>
          </w:p>
        </w:tc>
      </w:tr>
      <w:tr>
        <w:tc>
          <w:tcPr>
            <w:tcW w:type="dxa" w:w="1872"/>
          </w:tcPr>
          <w:p>
            <w:pPr>
              <w:spacing w:after="40"/>
            </w:pPr>
            <w:r>
              <w:rPr>
                <w:rFonts w:ascii="Times New Roman" w:hAnsi="Times New Roman"/>
                <w:color w:val="334155"/>
                <w:sz w:val="21"/>
              </w:rPr>
              <w:t>Table 6.1</w:t>
            </w:r>
          </w:p>
        </w:tc>
        <w:tc>
          <w:tcPr>
            <w:tcW w:type="dxa" w:w="6480"/>
          </w:tcPr>
          <w:p>
            <w:pPr>
              <w:spacing w:after="40"/>
            </w:pPr>
            <w:r>
              <w:rPr>
                <w:rFonts w:ascii="Times New Roman" w:hAnsi="Times New Roman"/>
                <w:color w:val="334155"/>
                <w:sz w:val="21"/>
              </w:rPr>
              <w:t>Factorial Experimental Matrix Configuration (18 Conditions)</w:t>
            </w:r>
          </w:p>
        </w:tc>
        <w:tc>
          <w:tcPr>
            <w:tcW w:type="dxa" w:w="1008"/>
          </w:tcPr>
          <w:p>
            <w:pPr>
              <w:spacing w:after="40"/>
            </w:pPr>
            <w:r>
              <w:rPr>
                <w:rFonts w:ascii="Times New Roman" w:hAnsi="Times New Roman"/>
                <w:color w:val="334155"/>
                <w:sz w:val="21"/>
              </w:rPr>
              <w:t>33</w:t>
            </w:r>
          </w:p>
        </w:tc>
      </w:tr>
      <w:tr>
        <w:tc>
          <w:tcPr>
            <w:tcW w:type="dxa" w:w="1872"/>
          </w:tcPr>
          <w:p>
            <w:pPr>
              <w:spacing w:after="40"/>
            </w:pPr>
            <w:r>
              <w:rPr>
                <w:rFonts w:ascii="Times New Roman" w:hAnsi="Times New Roman"/>
                <w:color w:val="334155"/>
                <w:sz w:val="21"/>
              </w:rPr>
              <w:t>Table 6.2</w:t>
            </w:r>
          </w:p>
        </w:tc>
        <w:tc>
          <w:tcPr>
            <w:tcW w:type="dxa" w:w="6480"/>
          </w:tcPr>
          <w:p>
            <w:pPr>
              <w:spacing w:after="40"/>
            </w:pPr>
            <w:r>
              <w:rPr>
                <w:rFonts w:ascii="Times New Roman" w:hAnsi="Times New Roman"/>
                <w:color w:val="334155"/>
                <w:sz w:val="21"/>
              </w:rPr>
              <w:t>Summary Performance Metrics Across Persona Pairings</w:t>
            </w:r>
          </w:p>
        </w:tc>
        <w:tc>
          <w:tcPr>
            <w:tcW w:type="dxa" w:w="1008"/>
          </w:tcPr>
          <w:p>
            <w:pPr>
              <w:spacing w:after="40"/>
            </w:pPr>
            <w:r>
              <w:rPr>
                <w:rFonts w:ascii="Times New Roman" w:hAnsi="Times New Roman"/>
                <w:color w:val="334155"/>
                <w:sz w:val="21"/>
              </w:rPr>
              <w:t>38</w:t>
            </w:r>
          </w:p>
        </w:tc>
      </w:tr>
    </w:tbl>
    <w:p>
      <w:r>
        <w:br w:type="page"/>
      </w:r>
    </w:p>
    <w:p>
      <w:pPr>
        <w:spacing w:before="0" w:after="200" w:line="276" w:lineRule="auto"/>
        <w:jc w:val="center"/>
      </w:pPr>
      <w:r>
        <w:rPr>
          <w:rFonts w:ascii="Times New Roman" w:hAnsi="Times New Roman"/>
          <w:b/>
          <w:color w:val="1E3A8A"/>
          <w:sz w:val="30"/>
        </w:rPr>
        <w:t>LIST OF ABBREVIATIONS</w:t>
      </w:r>
    </w:p>
    <w:tbl>
      <w:tblPr>
        <w:tblW w:type="auto" w:w="0"/>
        <w:jc w:val="center"/>
        <w:tblLook w:firstColumn="1" w:firstRow="1" w:lastColumn="0" w:lastRow="0" w:noHBand="0" w:noVBand="1" w:val="04A0"/>
      </w:tblPr>
      <w:tblGrid>
        <w:gridCol w:w="4680"/>
        <w:gridCol w:w="4680"/>
      </w:tblGrid>
      <w:tr>
        <w:tc>
          <w:tcPr>
            <w:tcW w:type="dxa" w:w="2160"/>
          </w:tcPr>
          <w:p>
            <w:pPr>
              <w:spacing w:after="40"/>
            </w:pPr>
            <w:r>
              <w:rPr>
                <w:rFonts w:ascii="Times New Roman" w:hAnsi="Times New Roman"/>
                <w:b/>
                <w:color w:val="334155"/>
                <w:sz w:val="21"/>
              </w:rPr>
              <w:t>LLM</w:t>
            </w:r>
          </w:p>
        </w:tc>
        <w:tc>
          <w:tcPr>
            <w:tcW w:type="dxa" w:w="7200"/>
          </w:tcPr>
          <w:p>
            <w:pPr>
              <w:spacing w:after="40"/>
            </w:pPr>
            <w:r>
              <w:rPr>
                <w:rFonts w:ascii="Times New Roman" w:hAnsi="Times New Roman"/>
                <w:color w:val="334155"/>
                <w:sz w:val="21"/>
              </w:rPr>
              <w:t>Large Language Model</w:t>
            </w:r>
          </w:p>
        </w:tc>
      </w:tr>
      <w:tr>
        <w:tc>
          <w:tcPr>
            <w:tcW w:type="dxa" w:w="2160"/>
          </w:tcPr>
          <w:p>
            <w:pPr>
              <w:spacing w:after="40"/>
            </w:pPr>
            <w:r>
              <w:rPr>
                <w:rFonts w:ascii="Times New Roman" w:hAnsi="Times New Roman"/>
                <w:b/>
                <w:color w:val="334155"/>
                <w:sz w:val="21"/>
              </w:rPr>
              <w:t>ZOPA</w:t>
            </w:r>
          </w:p>
        </w:tc>
        <w:tc>
          <w:tcPr>
            <w:tcW w:type="dxa" w:w="7200"/>
          </w:tcPr>
          <w:p>
            <w:pPr>
              <w:spacing w:after="40"/>
            </w:pPr>
            <w:r>
              <w:rPr>
                <w:rFonts w:ascii="Times New Roman" w:hAnsi="Times New Roman"/>
                <w:color w:val="334155"/>
                <w:sz w:val="21"/>
              </w:rPr>
              <w:t>Zone of Possible Agreement</w:t>
            </w:r>
          </w:p>
        </w:tc>
      </w:tr>
      <w:tr>
        <w:tc>
          <w:tcPr>
            <w:tcW w:type="dxa" w:w="2160"/>
          </w:tcPr>
          <w:p>
            <w:pPr>
              <w:spacing w:after="40"/>
            </w:pPr>
            <w:r>
              <w:rPr>
                <w:rFonts w:ascii="Times New Roman" w:hAnsi="Times New Roman"/>
                <w:b/>
                <w:color w:val="334155"/>
                <w:sz w:val="21"/>
              </w:rPr>
              <w:t>SDLC</w:t>
            </w:r>
          </w:p>
        </w:tc>
        <w:tc>
          <w:tcPr>
            <w:tcW w:type="dxa" w:w="7200"/>
          </w:tcPr>
          <w:p>
            <w:pPr>
              <w:spacing w:after="40"/>
            </w:pPr>
            <w:r>
              <w:rPr>
                <w:rFonts w:ascii="Times New Roman" w:hAnsi="Times New Roman"/>
                <w:color w:val="334155"/>
                <w:sz w:val="21"/>
              </w:rPr>
              <w:t>Software Development Life Cycle</w:t>
            </w:r>
          </w:p>
        </w:tc>
      </w:tr>
      <w:tr>
        <w:tc>
          <w:tcPr>
            <w:tcW w:type="dxa" w:w="2160"/>
          </w:tcPr>
          <w:p>
            <w:pPr>
              <w:spacing w:after="40"/>
            </w:pPr>
            <w:r>
              <w:rPr>
                <w:rFonts w:ascii="Times New Roman" w:hAnsi="Times New Roman"/>
                <w:b/>
                <w:color w:val="334155"/>
                <w:sz w:val="21"/>
              </w:rPr>
              <w:t>JSON</w:t>
            </w:r>
          </w:p>
        </w:tc>
        <w:tc>
          <w:tcPr>
            <w:tcW w:type="dxa" w:w="7200"/>
          </w:tcPr>
          <w:p>
            <w:pPr>
              <w:spacing w:after="40"/>
            </w:pPr>
            <w:r>
              <w:rPr>
                <w:rFonts w:ascii="Times New Roman" w:hAnsi="Times New Roman"/>
                <w:color w:val="334155"/>
                <w:sz w:val="21"/>
              </w:rPr>
              <w:t>JavaScript Object Notation</w:t>
            </w:r>
          </w:p>
        </w:tc>
      </w:tr>
      <w:tr>
        <w:tc>
          <w:tcPr>
            <w:tcW w:type="dxa" w:w="2160"/>
          </w:tcPr>
          <w:p>
            <w:pPr>
              <w:spacing w:after="40"/>
            </w:pPr>
            <w:r>
              <w:rPr>
                <w:rFonts w:ascii="Times New Roman" w:hAnsi="Times New Roman"/>
                <w:b/>
                <w:color w:val="334155"/>
                <w:sz w:val="21"/>
              </w:rPr>
              <w:t>API</w:t>
            </w:r>
          </w:p>
        </w:tc>
        <w:tc>
          <w:tcPr>
            <w:tcW w:type="dxa" w:w="7200"/>
          </w:tcPr>
          <w:p>
            <w:pPr>
              <w:spacing w:after="40"/>
            </w:pPr>
            <w:r>
              <w:rPr>
                <w:rFonts w:ascii="Times New Roman" w:hAnsi="Times New Roman"/>
                <w:color w:val="334155"/>
                <w:sz w:val="21"/>
              </w:rPr>
              <w:t>Application Programming Interface</w:t>
            </w:r>
          </w:p>
        </w:tc>
      </w:tr>
      <w:tr>
        <w:tc>
          <w:tcPr>
            <w:tcW w:type="dxa" w:w="2160"/>
          </w:tcPr>
          <w:p>
            <w:pPr>
              <w:spacing w:after="40"/>
            </w:pPr>
            <w:r>
              <w:rPr>
                <w:rFonts w:ascii="Times New Roman" w:hAnsi="Times New Roman"/>
                <w:b/>
                <w:color w:val="334155"/>
                <w:sz w:val="21"/>
              </w:rPr>
              <w:t>GUI</w:t>
            </w:r>
          </w:p>
        </w:tc>
        <w:tc>
          <w:tcPr>
            <w:tcW w:type="dxa" w:w="7200"/>
          </w:tcPr>
          <w:p>
            <w:pPr>
              <w:spacing w:after="40"/>
            </w:pPr>
            <w:r>
              <w:rPr>
                <w:rFonts w:ascii="Times New Roman" w:hAnsi="Times New Roman"/>
                <w:color w:val="334155"/>
                <w:sz w:val="21"/>
              </w:rPr>
              <w:t>Graphical User Interface</w:t>
            </w:r>
          </w:p>
        </w:tc>
      </w:tr>
      <w:tr>
        <w:tc>
          <w:tcPr>
            <w:tcW w:type="dxa" w:w="2160"/>
          </w:tcPr>
          <w:p>
            <w:pPr>
              <w:spacing w:after="40"/>
            </w:pPr>
            <w:r>
              <w:rPr>
                <w:rFonts w:ascii="Times New Roman" w:hAnsi="Times New Roman"/>
                <w:b/>
                <w:color w:val="334155"/>
                <w:sz w:val="21"/>
              </w:rPr>
              <w:t>UML</w:t>
            </w:r>
          </w:p>
        </w:tc>
        <w:tc>
          <w:tcPr>
            <w:tcW w:type="dxa" w:w="7200"/>
          </w:tcPr>
          <w:p>
            <w:pPr>
              <w:spacing w:after="40"/>
            </w:pPr>
            <w:r>
              <w:rPr>
                <w:rFonts w:ascii="Times New Roman" w:hAnsi="Times New Roman"/>
                <w:color w:val="334155"/>
                <w:sz w:val="21"/>
              </w:rPr>
              <w:t>Unified Modeling Language</w:t>
            </w:r>
          </w:p>
        </w:tc>
      </w:tr>
      <w:tr>
        <w:tc>
          <w:tcPr>
            <w:tcW w:type="dxa" w:w="2160"/>
          </w:tcPr>
          <w:p>
            <w:pPr>
              <w:spacing w:after="40"/>
            </w:pPr>
            <w:r>
              <w:rPr>
                <w:rFonts w:ascii="Times New Roman" w:hAnsi="Times New Roman"/>
                <w:b/>
                <w:color w:val="334155"/>
                <w:sz w:val="21"/>
              </w:rPr>
              <w:t>SDK</w:t>
            </w:r>
          </w:p>
        </w:tc>
        <w:tc>
          <w:tcPr>
            <w:tcW w:type="dxa" w:w="7200"/>
          </w:tcPr>
          <w:p>
            <w:pPr>
              <w:spacing w:after="40"/>
            </w:pPr>
            <w:r>
              <w:rPr>
                <w:rFonts w:ascii="Times New Roman" w:hAnsi="Times New Roman"/>
                <w:color w:val="334155"/>
                <w:sz w:val="21"/>
              </w:rPr>
              <w:t>Software Development Kit</w:t>
            </w:r>
          </w:p>
        </w:tc>
      </w:tr>
      <w:tr>
        <w:tc>
          <w:tcPr>
            <w:tcW w:type="dxa" w:w="2160"/>
          </w:tcPr>
          <w:p>
            <w:pPr>
              <w:spacing w:after="40"/>
            </w:pPr>
            <w:r>
              <w:rPr>
                <w:rFonts w:ascii="Times New Roman" w:hAnsi="Times New Roman"/>
                <w:b/>
                <w:color w:val="334155"/>
                <w:sz w:val="21"/>
              </w:rPr>
              <w:t>CLI</w:t>
            </w:r>
          </w:p>
        </w:tc>
        <w:tc>
          <w:tcPr>
            <w:tcW w:type="dxa" w:w="7200"/>
          </w:tcPr>
          <w:p>
            <w:pPr>
              <w:spacing w:after="40"/>
            </w:pPr>
            <w:r>
              <w:rPr>
                <w:rFonts w:ascii="Times New Roman" w:hAnsi="Times New Roman"/>
                <w:color w:val="334155"/>
                <w:sz w:val="21"/>
              </w:rPr>
              <w:t>Command Line Interface</w:t>
            </w:r>
          </w:p>
        </w:tc>
      </w:tr>
      <w:tr>
        <w:tc>
          <w:tcPr>
            <w:tcW w:type="dxa" w:w="2160"/>
          </w:tcPr>
          <w:p>
            <w:pPr>
              <w:spacing w:after="40"/>
            </w:pPr>
            <w:r>
              <w:rPr>
                <w:rFonts w:ascii="Times New Roman" w:hAnsi="Times New Roman"/>
                <w:b/>
                <w:color w:val="334155"/>
                <w:sz w:val="21"/>
              </w:rPr>
              <w:t>RGPV</w:t>
            </w:r>
          </w:p>
        </w:tc>
        <w:tc>
          <w:tcPr>
            <w:tcW w:type="dxa" w:w="7200"/>
          </w:tcPr>
          <w:p>
            <w:pPr>
              <w:spacing w:after="40"/>
            </w:pPr>
            <w:r>
              <w:rPr>
                <w:rFonts w:ascii="Times New Roman" w:hAnsi="Times New Roman"/>
                <w:color w:val="334155"/>
                <w:sz w:val="21"/>
              </w:rPr>
              <w:t>Rajiv Gandhi Proudyogiki Vishwavidyalaya</w:t>
            </w:r>
          </w:p>
        </w:tc>
      </w:tr>
      <w:tr>
        <w:tc>
          <w:tcPr>
            <w:tcW w:type="dxa" w:w="2160"/>
          </w:tcPr>
          <w:p>
            <w:pPr>
              <w:spacing w:after="40"/>
            </w:pPr>
            <w:r>
              <w:rPr>
                <w:rFonts w:ascii="Times New Roman" w:hAnsi="Times New Roman"/>
                <w:b/>
                <w:color w:val="334155"/>
                <w:sz w:val="21"/>
              </w:rPr>
              <w:t>BATNA</w:t>
            </w:r>
          </w:p>
        </w:tc>
        <w:tc>
          <w:tcPr>
            <w:tcW w:type="dxa" w:w="7200"/>
          </w:tcPr>
          <w:p>
            <w:pPr>
              <w:spacing w:after="40"/>
            </w:pPr>
            <w:r>
              <w:rPr>
                <w:rFonts w:ascii="Times New Roman" w:hAnsi="Times New Roman"/>
                <w:color w:val="334155"/>
                <w:sz w:val="21"/>
              </w:rPr>
              <w:t>Best Alternative to a Negotiated Agreement</w:t>
            </w:r>
          </w:p>
        </w:tc>
      </w:tr>
    </w:tbl>
    <w:p>
      <w:pPr>
        <w:spacing w:before="360" w:after="200" w:line="276" w:lineRule="auto"/>
        <w:jc w:val="center"/>
      </w:pPr>
      <w:r>
        <w:rPr>
          <w:rFonts w:ascii="Times New Roman" w:hAnsi="Times New Roman"/>
          <w:b/>
          <w:color w:val="1E3A8A"/>
          <w:sz w:val="32"/>
        </w:rPr>
        <w:t>ABSTRACT</w:t>
      </w:r>
    </w:p>
    <w:p>
      <w:pPr>
        <w:spacing w:line="360" w:lineRule="auto" w:after="120"/>
        <w:jc w:val="both"/>
      </w:pPr>
      <w:r>
        <w:rPr>
          <w:rFonts w:ascii="Times New Roman" w:hAnsi="Times New Roman"/>
          <w:color w:val="334155"/>
          <w:sz w:val="24"/>
        </w:rPr>
        <w:t>Automated negotiation is a foundational paradigm underpinning autonomous commerce, algorithmic procurement, and decentralized decision-making. Historically, multi-agent automated negotiations relied on rigid, hand-crafted mathematical rules or game-theoretic bargaining models that lacked contextual flexibility and natural-language communication. The recent advent of capable, instruction-tuned, open-weight Large Language Models (LLMs) presents an unprecedented opportunity: negotiations can now unfold entirely through unscripted natural language between autonomous software agents.</w:t>
      </w:r>
    </w:p>
    <w:p>
      <w:pPr>
        <w:spacing w:line="360" w:lineRule="auto" w:after="120"/>
        <w:jc w:val="both"/>
      </w:pPr>
      <w:r>
        <w:rPr>
          <w:rFonts w:ascii="Times New Roman" w:hAnsi="Times New Roman"/>
          <w:color w:val="334155"/>
          <w:sz w:val="24"/>
        </w:rPr>
        <w:t>This project, Concord, introduces a controlled, reproducible experimental simulation framework designed to study multi-turn strategic price negotiations between two independent instances of Google's Gemma 4 model. The agents represent opposing economic roles: a Buyer endowed with a private maximum willingness to pay ($100.00) and a Seller endowed with a private minimum acceptable cost ($60.00), defining a Zone of Possible Agreement (ZOPA) of $40.00. The framework systematically investigates the impact of prompting strategies (Cooperative, Neutral, Aggressive personas) and information asymmetry (Symmetric Hidden vs. Asymmetric Insider Knowledge) across a full factorial matrix of experimental conditions.</w:t>
      </w:r>
    </w:p>
    <w:p>
      <w:pPr>
        <w:spacing w:line="360" w:lineRule="auto" w:after="120"/>
        <w:jc w:val="both"/>
      </w:pPr>
      <w:r>
        <w:rPr>
          <w:rFonts w:ascii="Times New Roman" w:hAnsi="Times New Roman"/>
          <w:color w:val="334155"/>
          <w:sz w:val="24"/>
        </w:rPr>
        <w:t>An orchestrator manages alternating conversational turns, while agents emit structured JSON objects encapsulating explicit economic actions (offer, counter, accept, walk-away), numerical price values, natural-language dialogic justifications, and internal private chain-of-thought reasoning. Every session is logged as structured JSON transcripts and evaluated via a Pandas-based quantitative analysis engine across key game-theoretic metrics: Deal Success Rate, Rounds to Convergence, Economic Surplus Split, and Pareto Efficiency.</w:t>
      </w:r>
    </w:p>
    <w:p>
      <w:pPr>
        <w:spacing w:line="360" w:lineRule="auto" w:after="120"/>
        <w:jc w:val="both"/>
      </w:pPr>
      <w:r>
        <w:rPr>
          <w:rFonts w:ascii="Times New Roman" w:hAnsi="Times New Roman"/>
          <w:color w:val="334155"/>
          <w:sz w:val="24"/>
        </w:rPr>
        <w:t>Empirical results demonstrate that agent personas fundamentally dictate contract feasibility and wealth division: Aggressive agents capture up to 90% of the economic surplus when paired with Cooperative counterparts, while Aggressive-versus-Aggressive dyads suffer severe frictional delays and increased impasse rates. Furthermore, asymmetric information knowledge dramatically amplifies bargaining power, enabling informed agents to extract maximal rents. The system features an interactive Streamlit demonstration dashboard for real-time visualization and historic transcript replays, offering a production-grade academic framework for multi-agent game-theoretic LLM research.</w:t>
      </w:r>
    </w:p>
    <w:p>
      <w:pPr>
        <w:spacing w:line="360" w:lineRule="auto" w:after="120"/>
        <w:jc w:val="both"/>
      </w:pPr>
      <w:r>
        <w:rPr>
          <w:rFonts w:ascii="Times New Roman" w:hAnsi="Times New Roman"/>
          <w:b/>
          <w:color w:val="0F172A"/>
        </w:rPr>
        <w:t xml:space="preserve">Keywords: </w:t>
      </w:r>
      <w:r>
        <w:rPr>
          <w:rFonts w:ascii="Times New Roman" w:hAnsi="Times New Roman"/>
          <w:color w:val="334155"/>
          <w:sz w:val="24"/>
        </w:rPr>
        <w:t>Keywords: Large Language Models, Multi-Agent Systems, Automated Negotiation, Gemma 4, Game Theory, Surplus Split, Pareto Efficiency, Prompt Engineering.</w:t>
      </w:r>
    </w:p>
    <w:p>
      <w:r>
        <w:br w:type="page"/>
      </w:r>
    </w:p>
    <w:p>
      <w:pPr>
        <w:keepNext/>
        <w:spacing w:before="320" w:after="120"/>
      </w:pPr>
      <w:r>
        <w:rPr>
          <w:rFonts w:ascii="Times New Roman" w:hAnsi="Times New Roman"/>
          <w:b/>
          <w:color w:val="1E3A8A"/>
          <w:sz w:val="30"/>
        </w:rPr>
        <w:t>CHAPTER 1: INTRODUCTION</w:t>
      </w:r>
    </w:p>
    <w:p>
      <w:pPr>
        <w:keepNext/>
        <w:spacing w:before="240" w:after="80"/>
      </w:pPr>
      <w:r>
        <w:rPr>
          <w:rFonts w:ascii="Times New Roman" w:hAnsi="Times New Roman"/>
          <w:b/>
          <w:color w:val="0F172A"/>
          <w:sz w:val="26"/>
        </w:rPr>
        <w:t>1.1 Background of the Study</w:t>
      </w:r>
    </w:p>
    <w:p>
      <w:pPr>
        <w:spacing w:line="360" w:lineRule="auto" w:after="120"/>
        <w:jc w:val="both"/>
      </w:pPr>
      <w:r>
        <w:rPr>
          <w:rFonts w:ascii="Times New Roman" w:hAnsi="Times New Roman"/>
          <w:color w:val="334155"/>
          <w:sz w:val="24"/>
        </w:rPr>
        <w:t>Negotiation is a fundamental goal-directed communicative process through which two or more self-interested entities with partially conflicting objectives interact to reach a mutually acceptable agreement. In classical computer science and economics, automated negotiation has been studied for decades through rule-based expert systems, heuristic algorithms, and formal game-theoretic bargaining models such as the Rubinstein alternating-offers paradigm and Nash bargaining solution. While mathematically rigorous, traditional automated negotiation systems suffered from critical constraints: they operated exclusively within rigid, pre-defined numerical protocols, required complete or probabilistic utility function disclosures, and were incapable of interpreting or generating contextual, persuasive natural language.</w:t>
      </w:r>
    </w:p>
    <w:p>
      <w:pPr>
        <w:spacing w:line="360" w:lineRule="auto" w:after="120"/>
        <w:jc w:val="both"/>
      </w:pPr>
      <w:r>
        <w:rPr>
          <w:rFonts w:ascii="Times New Roman" w:hAnsi="Times New Roman"/>
          <w:color w:val="334155"/>
          <w:sz w:val="24"/>
        </w:rPr>
        <w:t>The emergence of generative artificial intelligence and instruction-tuned Large Language Models (LLMs)—most notably Google's lightweight open-weight Gemma 4 model family—has transformed multi-agent system design. Modern LLMs exhibit profound multi-turn dialogic coherence, strategic context retention, and reasoning capabilities. Consequently, automated economic negotiation can now be carried out entirely through natural language dialogue by autonomous AI agents, without hand-crafted heuristic rules or rigid game-tree constraints.</w:t>
      </w:r>
    </w:p>
    <w:p>
      <w:pPr>
        <w:keepNext/>
        <w:spacing w:before="240" w:after="80"/>
      </w:pPr>
      <w:r>
        <w:rPr>
          <w:rFonts w:ascii="Times New Roman" w:hAnsi="Times New Roman"/>
          <w:b/>
          <w:color w:val="0F172A"/>
          <w:sz w:val="26"/>
        </w:rPr>
        <w:t>1.2 Problem Context &amp; Motivation</w:t>
      </w:r>
    </w:p>
    <w:p>
      <w:pPr>
        <w:spacing w:line="360" w:lineRule="auto" w:after="120"/>
        <w:jc w:val="both"/>
      </w:pPr>
      <w:r>
        <w:rPr>
          <w:rFonts w:ascii="Times New Roman" w:hAnsi="Times New Roman"/>
          <w:color w:val="334155"/>
          <w:sz w:val="24"/>
        </w:rPr>
        <w:t>Despite the explosive adoption of LLM-based conversational assistants, the vast majority of deployed systems are designed for single-agent, cooperative, human-facing interactions (such as chatbots and customer support assistants). Comparatively little open, reproducible empirical research investigates how two independently prompted instances of the same model family behave when placed in adversarial, goal-driven, multi-turn economic competition against each other.</w:t>
      </w:r>
    </w:p>
    <w:p>
      <w:pPr>
        <w:spacing w:line="360" w:lineRule="auto" w:after="120"/>
        <w:jc w:val="both"/>
      </w:pPr>
      <w:r>
        <w:rPr>
          <w:rFonts w:ascii="Times New Roman" w:hAnsi="Times New Roman"/>
          <w:color w:val="334155"/>
          <w:sz w:val="24"/>
        </w:rPr>
        <w:t>As autonomous AI agents increasingly conduct real-world electronic commerce, automated supply-chain procurement, enterprise software licensing, and decentralized digital transactions, understanding their strategic interaction dynamics becomes critically important. Specifically, do LLMs concede too readily? Do they succumb to anchoring bias? How do behavioral personas (e.g., an aggressive bargainer vs. a cooperative partner) influence contract formation? And does private information asymmetry lead to predatory economic exploitation or complete transaction deadlocks?</w:t>
      </w:r>
    </w:p>
    <w:p>
      <w:pPr>
        <w:keepNext/>
        <w:spacing w:before="240" w:after="80"/>
      </w:pPr>
      <w:r>
        <w:rPr>
          <w:rFonts w:ascii="Times New Roman" w:hAnsi="Times New Roman"/>
          <w:b/>
          <w:color w:val="0F172A"/>
          <w:sz w:val="26"/>
        </w:rPr>
        <w:t>1.3 Project Objectives</w:t>
      </w:r>
    </w:p>
    <w:p>
      <w:pPr>
        <w:spacing w:line="360" w:lineRule="auto" w:after="120"/>
        <w:jc w:val="both"/>
      </w:pPr>
      <w:r>
        <w:rPr>
          <w:rFonts w:ascii="Times New Roman" w:hAnsi="Times New Roman"/>
          <w:color w:val="334155"/>
          <w:sz w:val="24"/>
        </w:rPr>
        <w:t>The primary aim of Project Concord is to build a robust, reproducible multi-agent simulation framework and empirically evaluate the negotiation behavior of autonomous LLM agents under controlled conditions. The specific objectives are:</w:t>
      </w:r>
    </w:p>
    <w:p>
      <w:pPr>
        <w:pStyle w:val="ListBullet"/>
        <w:spacing w:after="60" w:line="300" w:lineRule="auto"/>
      </w:pPr>
      <w:r>
        <w:rPr>
          <w:rFonts w:ascii="Times New Roman" w:hAnsi="Times New Roman"/>
          <w:b/>
          <w:color w:val="0F172A"/>
        </w:rPr>
        <w:t xml:space="preserve">1. Autonomous Pipeline: </w:t>
      </w:r>
      <w:r>
        <w:rPr>
          <w:rFonts w:ascii="Times New Roman" w:hAnsi="Times New Roman"/>
          <w:color w:val="334155"/>
          <w:sz w:val="23"/>
        </w:rPr>
        <w:t>To design and build an autonomous turn-taking multi-agent orchestrator managing bilateral negotiations between two Google Gemma 4 agents.</w:t>
      </w:r>
    </w:p>
    <w:p>
      <w:pPr>
        <w:pStyle w:val="ListBullet"/>
        <w:spacing w:after="60" w:line="300" w:lineRule="auto"/>
      </w:pPr>
      <w:r>
        <w:rPr>
          <w:rFonts w:ascii="Times New Roman" w:hAnsi="Times New Roman"/>
          <w:b/>
          <w:color w:val="0F172A"/>
        </w:rPr>
        <w:t xml:space="preserve">2. Strategic Personas: </w:t>
      </w:r>
      <w:r>
        <w:rPr>
          <w:rFonts w:ascii="Times New Roman" w:hAnsi="Times New Roman"/>
          <w:color w:val="334155"/>
          <w:sz w:val="23"/>
        </w:rPr>
        <w:t>To engineer distinct behavioral system prompts establishing Cooperative, Neutral, and Aggressive agent personas.</w:t>
      </w:r>
    </w:p>
    <w:p>
      <w:pPr>
        <w:pStyle w:val="ListBullet"/>
        <w:spacing w:after="60" w:line="300" w:lineRule="auto"/>
      </w:pPr>
      <w:r>
        <w:rPr>
          <w:rFonts w:ascii="Times New Roman" w:hAnsi="Times New Roman"/>
          <w:b/>
          <w:color w:val="0F172A"/>
        </w:rPr>
        <w:t xml:space="preserve">3. Information Asymmetry: </w:t>
      </w:r>
      <w:r>
        <w:rPr>
          <w:rFonts w:ascii="Times New Roman" w:hAnsi="Times New Roman"/>
          <w:color w:val="334155"/>
          <w:sz w:val="23"/>
        </w:rPr>
        <w:t>To model information asymmetry conditions, evaluating symmetric hidden thresholds versus unilateral insider knowledge.</w:t>
      </w:r>
    </w:p>
    <w:p>
      <w:pPr>
        <w:pStyle w:val="ListBullet"/>
        <w:spacing w:after="60" w:line="300" w:lineRule="auto"/>
      </w:pPr>
      <w:r>
        <w:rPr>
          <w:rFonts w:ascii="Times New Roman" w:hAnsi="Times New Roman"/>
          <w:b/>
          <w:color w:val="0F172A"/>
        </w:rPr>
        <w:t xml:space="preserve">4. Structured Communication: </w:t>
      </w:r>
      <w:r>
        <w:rPr>
          <w:rFonts w:ascii="Times New Roman" w:hAnsi="Times New Roman"/>
          <w:color w:val="334155"/>
          <w:sz w:val="23"/>
        </w:rPr>
        <w:t>To enforce structured JSON schema outputs from agents, isolating overt dialogue from private chain-of-thought reasoning.</w:t>
      </w:r>
    </w:p>
    <w:p>
      <w:pPr>
        <w:pStyle w:val="ListBullet"/>
        <w:spacing w:after="60" w:line="300" w:lineRule="auto"/>
      </w:pPr>
      <w:r>
        <w:rPr>
          <w:rFonts w:ascii="Times New Roman" w:hAnsi="Times New Roman"/>
          <w:b/>
          <w:color w:val="0F172A"/>
        </w:rPr>
        <w:t xml:space="preserve">5. Quantitative Analytics: </w:t>
      </w:r>
      <w:r>
        <w:rPr>
          <w:rFonts w:ascii="Times New Roman" w:hAnsi="Times New Roman"/>
          <w:color w:val="334155"/>
          <w:sz w:val="23"/>
        </w:rPr>
        <w:t>To formulate and compute quantitative game-theoretic evaluation metrics including deal success rates, surplus distribution, rounds to convergence, and Pareto efficiency.</w:t>
      </w:r>
    </w:p>
    <w:p>
      <w:pPr>
        <w:pStyle w:val="ListBullet"/>
        <w:spacing w:after="60" w:line="300" w:lineRule="auto"/>
      </w:pPr>
      <w:r>
        <w:rPr>
          <w:rFonts w:ascii="Times New Roman" w:hAnsi="Times New Roman"/>
          <w:b/>
          <w:color w:val="0F172A"/>
        </w:rPr>
        <w:t xml:space="preserve">6. Demonstration GUI: </w:t>
      </w:r>
      <w:r>
        <w:rPr>
          <w:rFonts w:ascii="Times New Roman" w:hAnsi="Times New Roman"/>
          <w:color w:val="334155"/>
          <w:sz w:val="23"/>
        </w:rPr>
        <w:t>To implement an interactive Streamlit graphical dashboard enabling turn-by-turn simulation replay and transcript analytics.</w:t>
      </w:r>
    </w:p>
    <w:p>
      <w:pPr>
        <w:keepNext/>
        <w:spacing w:before="240" w:after="80"/>
      </w:pPr>
      <w:r>
        <w:rPr>
          <w:rFonts w:ascii="Times New Roman" w:hAnsi="Times New Roman"/>
          <w:b/>
          <w:color w:val="0F172A"/>
          <w:sz w:val="26"/>
        </w:rPr>
        <w:t>1.4 Scope and Limitations</w:t>
      </w:r>
    </w:p>
    <w:p>
      <w:pPr>
        <w:spacing w:line="360" w:lineRule="auto" w:after="120"/>
        <w:jc w:val="both"/>
      </w:pPr>
      <w:r>
        <w:rPr>
          <w:rFonts w:ascii="Times New Roman" w:hAnsi="Times New Roman"/>
          <w:color w:val="334155"/>
          <w:sz w:val="24"/>
        </w:rPr>
        <w:t>To maintain experimental rigor, interpretability, and academic reproducibility within the semester timeline, the project establishes well-defined boundaries:</w:t>
      </w:r>
    </w:p>
    <w:p>
      <w:pPr>
        <w:pStyle w:val="ListBullet"/>
        <w:spacing w:after="60" w:line="300" w:lineRule="auto"/>
      </w:pPr>
      <w:r>
        <w:rPr>
          <w:rFonts w:ascii="Times New Roman" w:hAnsi="Times New Roman"/>
          <w:b/>
          <w:color w:val="0F172A"/>
        </w:rPr>
        <w:t xml:space="preserve">Bilateral Single-Issue Scope: </w:t>
      </w:r>
      <w:r>
        <w:rPr>
          <w:rFonts w:ascii="Times New Roman" w:hAnsi="Times New Roman"/>
          <w:color w:val="334155"/>
          <w:sz w:val="23"/>
        </w:rPr>
        <w:t>The simulation is bounded to bilateral (one-to-one) bargaining over a single durable commercial asset (a Vintage IBM Model M Mechanical Keyboard) with established reservation prices ($100 budget vs. $60 cost). Multi-party auctions and multi-item bundled negotiations are excluded.</w:t>
      </w:r>
    </w:p>
    <w:p>
      <w:pPr>
        <w:pStyle w:val="ListBullet"/>
        <w:spacing w:after="60" w:line="300" w:lineRule="auto"/>
      </w:pPr>
      <w:r>
        <w:rPr>
          <w:rFonts w:ascii="Times New Roman" w:hAnsi="Times New Roman"/>
          <w:b/>
          <w:color w:val="0F172A"/>
        </w:rPr>
        <w:t xml:space="preserve">Discrete Turn Bounds: </w:t>
      </w:r>
      <w:r>
        <w:rPr>
          <w:rFonts w:ascii="Times New Roman" w:hAnsi="Times New Roman"/>
          <w:color w:val="334155"/>
          <w:sz w:val="23"/>
        </w:rPr>
        <w:t>Agent interactions occur across discrete conversational rounds bounded by a configurable maximum turn limit (default 20 rounds) to prevent infinite loops.</w:t>
      </w:r>
    </w:p>
    <w:p>
      <w:pPr>
        <w:pStyle w:val="ListBullet"/>
        <w:spacing w:after="60" w:line="300" w:lineRule="auto"/>
      </w:pPr>
      <w:r>
        <w:rPr>
          <w:rFonts w:ascii="Times New Roman" w:hAnsi="Times New Roman"/>
          <w:b/>
          <w:color w:val="0F172A"/>
        </w:rPr>
        <w:t xml:space="preserve">Model Architecture: </w:t>
      </w:r>
      <w:r>
        <w:rPr>
          <w:rFonts w:ascii="Times New Roman" w:hAnsi="Times New Roman"/>
          <w:color w:val="334155"/>
          <w:sz w:val="23"/>
        </w:rPr>
        <w:t>Evaluations focus entirely on prompt engineering and in-context conditioning of the open-weight Gemma 4 instruction-tuned model. Parameter fine-tuning and reinforcement learning from human feedback (RLHF) remain prospective future extensions.</w:t>
      </w:r>
    </w:p>
    <w:p>
      <w:r>
        <w:br w:type="page"/>
      </w:r>
    </w:p>
    <w:p>
      <w:pPr>
        <w:keepNext/>
        <w:spacing w:before="320" w:after="120"/>
      </w:pPr>
      <w:r>
        <w:rPr>
          <w:rFonts w:ascii="Times New Roman" w:hAnsi="Times New Roman"/>
          <w:b/>
          <w:color w:val="1E3A8A"/>
          <w:sz w:val="30"/>
        </w:rPr>
        <w:t>CHAPTER 2: PROBLEM IDENTIFICATION &amp; SCOPE</w:t>
      </w:r>
    </w:p>
    <w:p>
      <w:pPr>
        <w:keepNext/>
        <w:spacing w:before="240" w:after="80"/>
      </w:pPr>
      <w:r>
        <w:rPr>
          <w:rFonts w:ascii="Times New Roman" w:hAnsi="Times New Roman"/>
          <w:b/>
          <w:color w:val="0F172A"/>
          <w:sz w:val="26"/>
        </w:rPr>
        <w:t>2.1 Problem Domain</w:t>
      </w:r>
    </w:p>
    <w:p>
      <w:pPr>
        <w:spacing w:line="360" w:lineRule="auto" w:after="120"/>
        <w:jc w:val="both"/>
      </w:pPr>
      <w:r>
        <w:rPr>
          <w:rFonts w:ascii="Times New Roman" w:hAnsi="Times New Roman"/>
          <w:color w:val="334155"/>
          <w:sz w:val="24"/>
        </w:rPr>
        <w:t>Automated negotiation lies at the intersection of Multi-Agent Systems (MAS), Computational Game Theory, and Natural Language Processing (NLP). In standard multi-agent environments, agents possess private utility functions, defined by:</w:t>
      </w:r>
    </w:p>
    <w:p>
      <w:pPr>
        <w:pStyle w:val="ListBullet"/>
        <w:spacing w:after="60" w:line="300" w:lineRule="auto"/>
      </w:pPr>
      <w:r>
        <w:rPr>
          <w:rFonts w:ascii="Times New Roman" w:hAnsi="Times New Roman"/>
          <w:b/>
          <w:color w:val="0F172A"/>
        </w:rPr>
        <w:t xml:space="preserve">Buyer Reservation Price: </w:t>
      </w:r>
      <w:r>
        <w:rPr>
          <w:rFonts w:ascii="Times New Roman" w:hAnsi="Times New Roman"/>
          <w:color w:val="334155"/>
          <w:sz w:val="23"/>
        </w:rPr>
        <w:t>The maximum monetary expenditure the buyer is willing to commit: $B_{max} = \$100.00$. Any agreed price $P \le B_{max}$ yields a non-negative buyer surplus $S_{buyer} = B_{max} - P$.</w:t>
      </w:r>
    </w:p>
    <w:p>
      <w:pPr>
        <w:pStyle w:val="ListBullet"/>
        <w:spacing w:after="60" w:line="300" w:lineRule="auto"/>
      </w:pPr>
      <w:r>
        <w:rPr>
          <w:rFonts w:ascii="Times New Roman" w:hAnsi="Times New Roman"/>
          <w:b/>
          <w:color w:val="0F172A"/>
        </w:rPr>
        <w:t xml:space="preserve">Seller Reservation Price: </w:t>
      </w:r>
      <w:r>
        <w:rPr>
          <w:rFonts w:ascii="Times New Roman" w:hAnsi="Times New Roman"/>
          <w:color w:val="334155"/>
          <w:sz w:val="23"/>
        </w:rPr>
        <w:t>The minimum monetary price below which the seller refuses to transact: $C_{min} = \$60.00$. Any agreed price $P \ge C_{min}$ yields a non-negative seller surplus $S_{seller} = P - C_{min}$.</w:t>
      </w:r>
    </w:p>
    <w:p>
      <w:pPr>
        <w:pStyle w:val="ListBullet"/>
        <w:spacing w:after="60" w:line="300" w:lineRule="auto"/>
      </w:pPr>
      <w:r>
        <w:rPr>
          <w:rFonts w:ascii="Times New Roman" w:hAnsi="Times New Roman"/>
          <w:b/>
          <w:color w:val="0F172A"/>
        </w:rPr>
        <w:t xml:space="preserve">Zone of Possible Agreement (ZOPA): </w:t>
      </w:r>
      <w:r>
        <w:rPr>
          <w:rFonts w:ascii="Times New Roman" w:hAnsi="Times New Roman"/>
          <w:color w:val="334155"/>
          <w:sz w:val="23"/>
        </w:rPr>
        <w:t>The range $[C_{min}, B_{max}] = [\$60.00, \$100.00]$. The total economic surplus generated by contract completion is $S_{total} = B_{max} - C_{min} = \$40.00$.</w:t>
      </w:r>
    </w:p>
    <w:p>
      <w:pPr>
        <w:spacing w:line="360" w:lineRule="auto" w:after="120"/>
        <w:jc w:val="both"/>
      </w:pPr>
      <w:r>
        <w:rPr>
          <w:rFonts w:ascii="Times New Roman" w:hAnsi="Times New Roman"/>
          <w:color w:val="334155"/>
          <w:sz w:val="24"/>
        </w:rPr>
        <w:t>When human negotiators converse, they utilize persuasion, tactical anchoring, concessions, and bluffing. When Large Language Models are instructed to assume these roles, critical questions arise regarding their decision boundaries: Are LLMs fundamentally cooperative utility-maximizers, or can strategic prompting induce cutthroat bargaining that extracts maximal surplus at the risk of causing an impasse?</w:t>
      </w:r>
    </w:p>
    <w:p>
      <w:pPr>
        <w:keepNext/>
        <w:spacing w:before="240" w:after="80"/>
      </w:pPr>
      <w:r>
        <w:rPr>
          <w:rFonts w:ascii="Times New Roman" w:hAnsi="Times New Roman"/>
          <w:b/>
          <w:color w:val="0F172A"/>
          <w:sz w:val="26"/>
        </w:rPr>
        <w:t>2.2 Solution Domain</w:t>
      </w:r>
    </w:p>
    <w:p>
      <w:pPr>
        <w:spacing w:line="360" w:lineRule="auto" w:after="120"/>
        <w:jc w:val="both"/>
      </w:pPr>
      <w:r>
        <w:rPr>
          <w:rFonts w:ascii="Times New Roman" w:hAnsi="Times New Roman"/>
          <w:color w:val="334155"/>
          <w:sz w:val="24"/>
        </w:rPr>
        <w:t>The proposed solution is Concord—an integrated computational framework that orchestrates multi-agent negotiations, logs structured data transcripts, computes rigorous game-theoretic metrics, and displays real-time analytics. The system decouples the communication layer into two distinct planes:</w:t>
      </w:r>
    </w:p>
    <w:p>
      <w:pPr>
        <w:pStyle w:val="ListBullet"/>
        <w:spacing w:after="60" w:line="300" w:lineRule="auto"/>
      </w:pPr>
      <w:r>
        <w:rPr>
          <w:rFonts w:ascii="Times New Roman" w:hAnsi="Times New Roman"/>
          <w:b/>
          <w:color w:val="0F172A"/>
        </w:rPr>
        <w:t xml:space="preserve">Public Message Plane: </w:t>
      </w:r>
      <w:r>
        <w:rPr>
          <w:rFonts w:ascii="Times New Roman" w:hAnsi="Times New Roman"/>
          <w:color w:val="334155"/>
          <w:sz w:val="23"/>
        </w:rPr>
        <w:t>Natural-language conversational utterances exchanged between the Buyer and Seller agents (offers, counter-arguments, product value highlights).</w:t>
      </w:r>
    </w:p>
    <w:p>
      <w:pPr>
        <w:pStyle w:val="ListBullet"/>
        <w:spacing w:after="60" w:line="300" w:lineRule="auto"/>
      </w:pPr>
      <w:r>
        <w:rPr>
          <w:rFonts w:ascii="Times New Roman" w:hAnsi="Times New Roman"/>
          <w:b/>
          <w:color w:val="0F172A"/>
        </w:rPr>
        <w:t xml:space="preserve">Private Reasoning Plane: </w:t>
      </w:r>
      <w:r>
        <w:rPr>
          <w:rFonts w:ascii="Times New Roman" w:hAnsi="Times New Roman"/>
          <w:color w:val="334155"/>
          <w:sz w:val="23"/>
        </w:rPr>
        <w:t>Private chain-of-thought deliberation where the agent assesses opponent concessions, calculates remaining surplus, and strategizes future moves without disclosing reservation values.</w:t>
      </w:r>
    </w:p>
    <w:p>
      <w:pPr>
        <w:keepNext/>
        <w:spacing w:before="240" w:after="80"/>
      </w:pPr>
      <w:r>
        <w:rPr>
          <w:rFonts w:ascii="Times New Roman" w:hAnsi="Times New Roman"/>
          <w:b/>
          <w:color w:val="0F172A"/>
          <w:sz w:val="26"/>
        </w:rPr>
        <w:t>2.3 Economic Foundation &amp; Rubinstein Bargaining Model</w:t>
      </w:r>
    </w:p>
    <w:p>
      <w:pPr>
        <w:spacing w:line="360" w:lineRule="auto" w:after="120"/>
        <w:jc w:val="both"/>
      </w:pPr>
      <w:r>
        <w:rPr>
          <w:rFonts w:ascii="Times New Roman" w:hAnsi="Times New Roman"/>
          <w:color w:val="334155"/>
          <w:sz w:val="24"/>
        </w:rPr>
        <w:t>The theoretical framework of Concord draws direct inspiration from Ariel Rubinstein's seminal 1982 theorem on Perfect Equilibrium in an Alternating-Offers Bargaining Game. In Rubinstein's model, two players take turns offering price proposals to divide a surplus. Rubinstein proved that with discounting factors (or turn limits), rational agents converge to a unique subgame-perfect Nash equilibrium.</w:t>
      </w:r>
    </w:p>
    <w:p>
      <w:pPr>
        <w:spacing w:line="360" w:lineRule="auto" w:after="120"/>
        <w:jc w:val="both"/>
      </w:pPr>
      <w:r>
        <w:rPr>
          <w:rFonts w:ascii="Times New Roman" w:hAnsi="Times New Roman"/>
          <w:color w:val="334155"/>
          <w:sz w:val="24"/>
        </w:rPr>
        <w:t>In Concord, we translate this classical economic formulation into an LLM-driven environment:</w:t>
      </w:r>
    </w:p>
    <w:p>
      <w:pPr>
        <w:pStyle w:val="ListBullet"/>
        <w:spacing w:after="60" w:line="300" w:lineRule="auto"/>
      </w:pPr>
      <w:r>
        <w:rPr>
          <w:rFonts w:ascii="Times New Roman" w:hAnsi="Times New Roman"/>
          <w:b/>
          <w:color w:val="0F172A"/>
        </w:rPr>
        <w:t xml:space="preserve">Alternating Offers: </w:t>
      </w:r>
      <w:r>
        <w:rPr>
          <w:rFonts w:ascii="Times New Roman" w:hAnsi="Times New Roman"/>
          <w:color w:val="334155"/>
          <w:sz w:val="23"/>
        </w:rPr>
        <w:t>Let $T$ denote the turn counter. Seller makes offer $P_1$ at $T=1$. Buyer responds at $T=2$ with counter $P_2$, accept, or walk-away.</w:t>
      </w:r>
    </w:p>
    <w:p>
      <w:pPr>
        <w:pStyle w:val="ListBullet"/>
        <w:spacing w:after="60" w:line="300" w:lineRule="auto"/>
      </w:pPr>
      <w:r>
        <w:rPr>
          <w:rFonts w:ascii="Times New Roman" w:hAnsi="Times New Roman"/>
          <w:b/>
          <w:color w:val="0F172A"/>
        </w:rPr>
        <w:t xml:space="preserve">Individual Rationality Constraint: </w:t>
      </w:r>
      <w:r>
        <w:rPr>
          <w:rFonts w:ascii="Times New Roman" w:hAnsi="Times New Roman"/>
          <w:color w:val="334155"/>
          <w:sz w:val="23"/>
        </w:rPr>
        <w:t>Surplus efficiency requires $P_{deal} \in [C_{min}, B_{max}]$. If $P_{deal} &lt; C_{min}$ or $P_{deal} &gt; B_{max}$, one party suffers economic loss, violating individual rationality.</w:t>
      </w:r>
    </w:p>
    <w:p>
      <w:pPr>
        <w:pStyle w:val="ListBullet"/>
        <w:spacing w:after="60" w:line="300" w:lineRule="auto"/>
      </w:pPr>
      <w:r>
        <w:rPr>
          <w:rFonts w:ascii="Times New Roman" w:hAnsi="Times New Roman"/>
          <w:b/>
          <w:color w:val="0F172A"/>
        </w:rPr>
        <w:t xml:space="preserve">Pareto Optimality: </w:t>
      </w:r>
      <w:r>
        <w:rPr>
          <w:rFonts w:ascii="Times New Roman" w:hAnsi="Times New Roman"/>
          <w:color w:val="334155"/>
          <w:sz w:val="23"/>
        </w:rPr>
        <w:t>A completed deal inside ZOPA is Pareto efficient because all $\$40.00$ surplus is distributed between the parties ($S_{buyer} + S_{seller} = S_{total}$). A failure to reach an agreement (impasse) destroys the $\$40.00$ surplus, representing an economically inefficient deadweight loss.</w:t>
      </w:r>
    </w:p>
    <w:p>
      <w:r>
        <w:br w:type="page"/>
      </w:r>
    </w:p>
    <w:p>
      <w:pPr>
        <w:keepNext/>
        <w:spacing w:before="320" w:after="120"/>
      </w:pPr>
      <w:r>
        <w:rPr>
          <w:rFonts w:ascii="Times New Roman" w:hAnsi="Times New Roman"/>
          <w:b/>
          <w:color w:val="1E3A8A"/>
          <w:sz w:val="30"/>
        </w:rPr>
        <w:t>CHAPTER 3: SOFTWARE ENGINEERING APPROACH</w:t>
      </w:r>
    </w:p>
    <w:p>
      <w:pPr>
        <w:keepNext/>
        <w:spacing w:before="240" w:after="80"/>
      </w:pPr>
      <w:r>
        <w:rPr>
          <w:rFonts w:ascii="Times New Roman" w:hAnsi="Times New Roman"/>
          <w:b/>
          <w:color w:val="0F172A"/>
          <w:sz w:val="26"/>
        </w:rPr>
        <w:t>3.1 Software Development Life Cycle (SDLC) Model</w:t>
      </w:r>
    </w:p>
    <w:p>
      <w:pPr>
        <w:spacing w:line="360" w:lineRule="auto" w:after="120"/>
        <w:jc w:val="both"/>
      </w:pPr>
      <w:r>
        <w:rPr>
          <w:rFonts w:ascii="Times New Roman" w:hAnsi="Times New Roman"/>
          <w:color w:val="334155"/>
          <w:sz w:val="24"/>
        </w:rPr>
        <w:t>Project Concord was developed following the Iterative and Incremental Development Model. Given the experimental and research-oriented nature of the project—where agent prompting dynamics, schema definitions, and metric criteria required empirical observation and iterative refinement—an incremental model proved far superior to a linear Waterfall approach.</w:t>
      </w:r>
    </w:p>
    <w:p>
      <w:pPr>
        <w:spacing w:line="360" w:lineRule="auto" w:after="120"/>
        <w:jc w:val="both"/>
      </w:pPr>
      <w:r>
        <w:rPr>
          <w:rFonts w:ascii="Times New Roman" w:hAnsi="Times New Roman"/>
          <w:color w:val="334155"/>
          <w:sz w:val="24"/>
        </w:rPr>
        <w:t>The development progressed across four distinct, well-defined evolutionary phases:</w:t>
      </w:r>
    </w:p>
    <w:p>
      <w:pPr>
        <w:pStyle w:val="ListBullet"/>
        <w:spacing w:after="60" w:line="300" w:lineRule="auto"/>
      </w:pPr>
      <w:r>
        <w:rPr>
          <w:rFonts w:ascii="Times New Roman" w:hAnsi="Times New Roman"/>
          <w:b/>
          <w:color w:val="0F172A"/>
        </w:rPr>
        <w:t xml:space="preserve">Phase 1 (Core Pipeline Increment): </w:t>
      </w:r>
      <w:r>
        <w:rPr>
          <w:rFonts w:ascii="Times New Roman" w:hAnsi="Times New Roman"/>
          <w:color w:val="334155"/>
          <w:sz w:val="23"/>
        </w:rPr>
        <w:t>Constructed the core orchestrator loop, managing sequential turn transitions between baseline Buyer and Seller agents backed by structured JSON parsing.</w:t>
      </w:r>
    </w:p>
    <w:p>
      <w:pPr>
        <w:pStyle w:val="ListBullet"/>
        <w:spacing w:after="60" w:line="300" w:lineRule="auto"/>
      </w:pPr>
      <w:r>
        <w:rPr>
          <w:rFonts w:ascii="Times New Roman" w:hAnsi="Times New Roman"/>
          <w:b/>
          <w:color w:val="0F172A"/>
        </w:rPr>
        <w:t xml:space="preserve">Phase 2 (Persona &amp; Information Increment): </w:t>
      </w:r>
      <w:r>
        <w:rPr>
          <w:rFonts w:ascii="Times New Roman" w:hAnsi="Times New Roman"/>
          <w:color w:val="334155"/>
          <w:sz w:val="23"/>
        </w:rPr>
        <w:t>Engineered system prompt templates encoding Cooperative, Neutral, and Aggressive personas alongside symmetric and asymmetric information visibility constraints.</w:t>
      </w:r>
    </w:p>
    <w:p>
      <w:pPr>
        <w:pStyle w:val="ListBullet"/>
        <w:spacing w:after="60" w:line="300" w:lineRule="auto"/>
      </w:pPr>
      <w:r>
        <w:rPr>
          <w:rFonts w:ascii="Times New Roman" w:hAnsi="Times New Roman"/>
          <w:b/>
          <w:color w:val="0F172A"/>
        </w:rPr>
        <w:t xml:space="preserve">Phase 3 (Logging &amp; Metrics Increment): </w:t>
      </w:r>
      <w:r>
        <w:rPr>
          <w:rFonts w:ascii="Times New Roman" w:hAnsi="Times New Roman"/>
          <w:color w:val="334155"/>
          <w:sz w:val="23"/>
        </w:rPr>
        <w:t>Implemented the automated transcript logger and Pandas-based analytical evaluation engine to compute deal velocity, surplus splits, and Pareto ratios.</w:t>
      </w:r>
    </w:p>
    <w:p>
      <w:pPr>
        <w:pStyle w:val="ListBullet"/>
        <w:spacing w:after="60" w:line="300" w:lineRule="auto"/>
      </w:pPr>
      <w:r>
        <w:rPr>
          <w:rFonts w:ascii="Times New Roman" w:hAnsi="Times New Roman"/>
          <w:b/>
          <w:color w:val="0F172A"/>
        </w:rPr>
        <w:t xml:space="preserve">Phase 4 (UI &amp; Visualization Increment): </w:t>
      </w:r>
      <w:r>
        <w:rPr>
          <w:rFonts w:ascii="Times New Roman" w:hAnsi="Times New Roman"/>
          <w:color w:val="334155"/>
          <w:sz w:val="23"/>
        </w:rPr>
        <w:t>Built the interactive Streamlit web dashboard and multi-condition batch experiment runner, finalizing containerization and documentation.</w:t>
      </w:r>
    </w:p>
    <w:p>
      <w:pPr>
        <w:keepNext/>
        <w:spacing w:before="240" w:after="80"/>
      </w:pPr>
      <w:r>
        <w:rPr>
          <w:rFonts w:ascii="Times New Roman" w:hAnsi="Times New Roman"/>
          <w:b/>
          <w:color w:val="0F172A"/>
          <w:sz w:val="26"/>
        </w:rPr>
        <w:t>3.2 Platform &amp; Technical Specifications</w:t>
      </w:r>
    </w:p>
    <w:p>
      <w:pPr>
        <w:keepNext/>
        <w:spacing w:before="160" w:after="40"/>
      </w:pPr>
      <w:r>
        <w:rPr>
          <w:rFonts w:ascii="Times New Roman" w:hAnsi="Times New Roman"/>
          <w:b/>
          <w:color w:val="0F172A"/>
          <w:sz w:val="24"/>
        </w:rPr>
        <w:t>3.2.1 Hardware Specification</w:t>
      </w:r>
    </w:p>
    <w:p>
      <w:pPr>
        <w:spacing w:line="360" w:lineRule="auto" w:after="120"/>
        <w:jc w:val="both"/>
      </w:pPr>
      <w:r>
        <w:rPr>
          <w:rFonts w:ascii="Times New Roman" w:hAnsi="Times New Roman"/>
          <w:color w:val="334155"/>
          <w:sz w:val="24"/>
        </w:rPr>
        <w:t>The development, local simulation, and analytical evaluations were carried out on a standard personal computing platform:</w:t>
      </w:r>
    </w:p>
    <w:tbl>
      <w:tblPr>
        <w:tblW w:type="auto" w:w="0"/>
        <w:jc w:val="center"/>
        <w:tblLook w:firstColumn="1" w:firstRow="1" w:lastColumn="0" w:lastRow="0" w:noHBand="0" w:noVBand="1" w:val="04A0"/>
      </w:tblPr>
      <w:tblGrid>
        <w:gridCol w:w="3120"/>
        <w:gridCol w:w="3120"/>
        <w:gridCol w:w="3120"/>
      </w:tblGrid>
      <w:tr>
        <w:tc>
          <w:tcPr>
            <w:tcW w:type="dxa" w:w="1152"/>
            <w:shd w:fill="1E3A8A"/>
          </w:tcPr>
          <w:p>
            <w:pPr>
              <w:jc w:val="center"/>
            </w:pPr>
            <w:r>
              <w:rPr>
                <w:rFonts w:ascii="Times New Roman" w:hAnsi="Times New Roman"/>
                <w:b/>
                <w:color w:val="FFFFFF"/>
                <w:sz w:val="21"/>
              </w:rPr>
              <w:t>S.No.</w:t>
            </w:r>
          </w:p>
        </w:tc>
        <w:tc>
          <w:tcPr>
            <w:tcW w:type="dxa" w:w="3168"/>
            <w:shd w:fill="1E3A8A"/>
          </w:tcPr>
          <w:p>
            <w:pPr>
              <w:jc w:val="center"/>
            </w:pPr>
            <w:r>
              <w:rPr>
                <w:rFonts w:ascii="Times New Roman" w:hAnsi="Times New Roman"/>
                <w:b/>
                <w:color w:val="FFFFFF"/>
                <w:sz w:val="21"/>
              </w:rPr>
              <w:t>Hardware Component</w:t>
            </w:r>
          </w:p>
        </w:tc>
        <w:tc>
          <w:tcPr>
            <w:tcW w:type="dxa" w:w="5040"/>
            <w:shd w:fill="1E3A8A"/>
          </w:tcPr>
          <w:p>
            <w:pPr>
              <w:jc w:val="center"/>
            </w:pPr>
            <w:r>
              <w:rPr>
                <w:rFonts w:ascii="Times New Roman" w:hAnsi="Times New Roman"/>
                <w:b/>
                <w:color w:val="FFFFFF"/>
                <w:sz w:val="21"/>
              </w:rPr>
              <w:t>Specification Details</w:t>
            </w:r>
          </w:p>
        </w:tc>
      </w:tr>
      <w:tr>
        <w:tc>
          <w:tcPr>
            <w:tcW w:type="dxa" w:w="1152"/>
            <w:shd w:fill="F8FAFC"/>
          </w:tcPr>
          <w:p>
            <w:pPr>
              <w:jc w:val="center"/>
            </w:pPr>
            <w:r>
              <w:rPr>
                <w:rFonts w:ascii="Times New Roman" w:hAnsi="Times New Roman"/>
                <w:color w:val="334155"/>
                <w:sz w:val="20"/>
              </w:rPr>
              <w:t>1</w:t>
            </w:r>
          </w:p>
        </w:tc>
        <w:tc>
          <w:tcPr>
            <w:tcW w:type="dxa" w:w="3168"/>
            <w:shd w:fill="F8FAFC"/>
          </w:tcPr>
          <w:p>
            <w:pPr>
              <w:jc w:val="left"/>
            </w:pPr>
            <w:r>
              <w:rPr>
                <w:rFonts w:ascii="Times New Roman" w:hAnsi="Times New Roman"/>
                <w:color w:val="334155"/>
                <w:sz w:val="20"/>
              </w:rPr>
              <w:t>Processor</w:t>
            </w:r>
          </w:p>
        </w:tc>
        <w:tc>
          <w:tcPr>
            <w:tcW w:type="dxa" w:w="5040"/>
            <w:shd w:fill="F8FAFC"/>
          </w:tcPr>
          <w:p>
            <w:pPr>
              <w:jc w:val="center"/>
            </w:pPr>
            <w:r>
              <w:rPr>
                <w:rFonts w:ascii="Times New Roman" w:hAnsi="Times New Roman"/>
                <w:color w:val="334155"/>
                <w:sz w:val="20"/>
              </w:rPr>
              <w:t>Intel Core i5 (11th Gen) / AMD Ryzen 5 or higher</w:t>
            </w:r>
          </w:p>
        </w:tc>
      </w:tr>
      <w:tr>
        <w:tc>
          <w:tcPr>
            <w:tcW w:type="dxa" w:w="1152"/>
            <w:shd w:fill="FFFFFF"/>
          </w:tcPr>
          <w:p>
            <w:pPr>
              <w:jc w:val="center"/>
            </w:pPr>
            <w:r>
              <w:rPr>
                <w:rFonts w:ascii="Times New Roman" w:hAnsi="Times New Roman"/>
                <w:color w:val="334155"/>
                <w:sz w:val="20"/>
              </w:rPr>
              <w:t>2</w:t>
            </w:r>
          </w:p>
        </w:tc>
        <w:tc>
          <w:tcPr>
            <w:tcW w:type="dxa" w:w="3168"/>
            <w:shd w:fill="FFFFFF"/>
          </w:tcPr>
          <w:p>
            <w:pPr>
              <w:jc w:val="left"/>
            </w:pPr>
            <w:r>
              <w:rPr>
                <w:rFonts w:ascii="Times New Roman" w:hAnsi="Times New Roman"/>
                <w:color w:val="334155"/>
                <w:sz w:val="20"/>
              </w:rPr>
              <w:t>System Memory (RAM)</w:t>
            </w:r>
          </w:p>
        </w:tc>
        <w:tc>
          <w:tcPr>
            <w:tcW w:type="dxa" w:w="5040"/>
            <w:shd w:fill="FFFFFF"/>
          </w:tcPr>
          <w:p>
            <w:pPr>
              <w:jc w:val="center"/>
            </w:pPr>
            <w:r>
              <w:rPr>
                <w:rFonts w:ascii="Times New Roman" w:hAnsi="Times New Roman"/>
                <w:color w:val="334155"/>
                <w:sz w:val="20"/>
              </w:rPr>
              <w:t>8 GB minimum (16 GB recommended for smooth execution)</w:t>
            </w:r>
          </w:p>
        </w:tc>
      </w:tr>
      <w:tr>
        <w:tc>
          <w:tcPr>
            <w:tcW w:type="dxa" w:w="1152"/>
            <w:shd w:fill="F8FAFC"/>
          </w:tcPr>
          <w:p>
            <w:pPr>
              <w:jc w:val="center"/>
            </w:pPr>
            <w:r>
              <w:rPr>
                <w:rFonts w:ascii="Times New Roman" w:hAnsi="Times New Roman"/>
                <w:color w:val="334155"/>
                <w:sz w:val="20"/>
              </w:rPr>
              <w:t>3</w:t>
            </w:r>
          </w:p>
        </w:tc>
        <w:tc>
          <w:tcPr>
            <w:tcW w:type="dxa" w:w="3168"/>
            <w:shd w:fill="F8FAFC"/>
          </w:tcPr>
          <w:p>
            <w:pPr>
              <w:jc w:val="left"/>
            </w:pPr>
            <w:r>
              <w:rPr>
                <w:rFonts w:ascii="Times New Roman" w:hAnsi="Times New Roman"/>
                <w:color w:val="334155"/>
                <w:sz w:val="20"/>
              </w:rPr>
              <w:t>Storage Space</w:t>
            </w:r>
          </w:p>
        </w:tc>
        <w:tc>
          <w:tcPr>
            <w:tcW w:type="dxa" w:w="5040"/>
            <w:shd w:fill="F8FAFC"/>
          </w:tcPr>
          <w:p>
            <w:pPr>
              <w:jc w:val="center"/>
            </w:pPr>
            <w:r>
              <w:rPr>
                <w:rFonts w:ascii="Times New Roman" w:hAnsi="Times New Roman"/>
                <w:color w:val="334155"/>
                <w:sz w:val="20"/>
              </w:rPr>
              <w:t>10 GB free solid-state storage (for logs, dependencies, datasets)</w:t>
            </w:r>
          </w:p>
        </w:tc>
      </w:tr>
      <w:tr>
        <w:tc>
          <w:tcPr>
            <w:tcW w:type="dxa" w:w="1152"/>
            <w:shd w:fill="FFFFFF"/>
          </w:tcPr>
          <w:p>
            <w:pPr>
              <w:jc w:val="center"/>
            </w:pPr>
            <w:r>
              <w:rPr>
                <w:rFonts w:ascii="Times New Roman" w:hAnsi="Times New Roman"/>
                <w:color w:val="334155"/>
                <w:sz w:val="20"/>
              </w:rPr>
              <w:t>4</w:t>
            </w:r>
          </w:p>
        </w:tc>
        <w:tc>
          <w:tcPr>
            <w:tcW w:type="dxa" w:w="3168"/>
            <w:shd w:fill="FFFFFF"/>
          </w:tcPr>
          <w:p>
            <w:pPr>
              <w:jc w:val="left"/>
            </w:pPr>
            <w:r>
              <w:rPr>
                <w:rFonts w:ascii="Times New Roman" w:hAnsi="Times New Roman"/>
                <w:color w:val="334155"/>
                <w:sz w:val="20"/>
              </w:rPr>
              <w:t>Network Connectivity</w:t>
            </w:r>
          </w:p>
        </w:tc>
        <w:tc>
          <w:tcPr>
            <w:tcW w:type="dxa" w:w="5040"/>
            <w:shd w:fill="FFFFFF"/>
          </w:tcPr>
          <w:p>
            <w:pPr>
              <w:jc w:val="center"/>
            </w:pPr>
            <w:r>
              <w:rPr>
                <w:rFonts w:ascii="Times New Roman" w:hAnsi="Times New Roman"/>
                <w:color w:val="334155"/>
                <w:sz w:val="20"/>
              </w:rPr>
              <w:t>High-speed broadband internet (for hosted Gemma 4 API calls)</w:t>
            </w:r>
          </w:p>
        </w:tc>
      </w:tr>
    </w:tbl>
    <w:p>
      <w:pPr>
        <w:keepNext/>
        <w:spacing w:before="160" w:after="40"/>
      </w:pPr>
      <w:r>
        <w:rPr>
          <w:rFonts w:ascii="Times New Roman" w:hAnsi="Times New Roman"/>
          <w:b/>
          <w:color w:val="0F172A"/>
          <w:sz w:val="24"/>
        </w:rPr>
        <w:t>3.2.2 Software Specification</w:t>
      </w:r>
    </w:p>
    <w:p>
      <w:pPr>
        <w:spacing w:line="360" w:lineRule="auto" w:after="120"/>
        <w:jc w:val="both"/>
      </w:pPr>
      <w:r>
        <w:rPr>
          <w:rFonts w:ascii="Times New Roman" w:hAnsi="Times New Roman"/>
          <w:color w:val="334155"/>
          <w:sz w:val="24"/>
        </w:rPr>
        <w:t>The platform relies exclusively on modern, open-source programming languages, machine learning frameworks, and analytical libraries:</w:t>
      </w:r>
    </w:p>
    <w:tbl>
      <w:tblPr>
        <w:tblW w:type="auto" w:w="0"/>
        <w:jc w:val="center"/>
        <w:tblLook w:firstColumn="1" w:firstRow="1" w:lastColumn="0" w:lastRow="0" w:noHBand="0" w:noVBand="1" w:val="04A0"/>
      </w:tblPr>
      <w:tblGrid>
        <w:gridCol w:w="3120"/>
        <w:gridCol w:w="3120"/>
        <w:gridCol w:w="3120"/>
      </w:tblGrid>
      <w:tr>
        <w:tc>
          <w:tcPr>
            <w:tcW w:type="dxa" w:w="1152"/>
            <w:shd w:fill="1E3A8A"/>
          </w:tcPr>
          <w:p>
            <w:pPr>
              <w:jc w:val="center"/>
            </w:pPr>
            <w:r>
              <w:rPr>
                <w:rFonts w:ascii="Times New Roman" w:hAnsi="Times New Roman"/>
                <w:b/>
                <w:color w:val="FFFFFF"/>
                <w:sz w:val="21"/>
              </w:rPr>
              <w:t>S.No.</w:t>
            </w:r>
          </w:p>
        </w:tc>
        <w:tc>
          <w:tcPr>
            <w:tcW w:type="dxa" w:w="3168"/>
            <w:shd w:fill="1E3A8A"/>
          </w:tcPr>
          <w:p>
            <w:pPr>
              <w:jc w:val="center"/>
            </w:pPr>
            <w:r>
              <w:rPr>
                <w:rFonts w:ascii="Times New Roman" w:hAnsi="Times New Roman"/>
                <w:b/>
                <w:color w:val="FFFFFF"/>
                <w:sz w:val="21"/>
              </w:rPr>
              <w:t>Software / Library</w:t>
            </w:r>
          </w:p>
        </w:tc>
        <w:tc>
          <w:tcPr>
            <w:tcW w:type="dxa" w:w="5040"/>
            <w:shd w:fill="1E3A8A"/>
          </w:tcPr>
          <w:p>
            <w:pPr>
              <w:jc w:val="center"/>
            </w:pPr>
            <w:r>
              <w:rPr>
                <w:rFonts w:ascii="Times New Roman" w:hAnsi="Times New Roman"/>
                <w:b/>
                <w:color w:val="FFFFFF"/>
                <w:sz w:val="21"/>
              </w:rPr>
              <w:t>Specification &amp; Purpose</w:t>
            </w:r>
          </w:p>
        </w:tc>
      </w:tr>
      <w:tr>
        <w:tc>
          <w:tcPr>
            <w:tcW w:type="dxa" w:w="1152"/>
            <w:shd w:fill="F8FAFC"/>
          </w:tcPr>
          <w:p>
            <w:pPr>
              <w:jc w:val="center"/>
            </w:pPr>
            <w:r>
              <w:rPr>
                <w:rFonts w:ascii="Times New Roman" w:hAnsi="Times New Roman"/>
                <w:color w:val="334155"/>
                <w:sz w:val="20"/>
              </w:rPr>
              <w:t>1</w:t>
            </w:r>
          </w:p>
        </w:tc>
        <w:tc>
          <w:tcPr>
            <w:tcW w:type="dxa" w:w="3168"/>
            <w:shd w:fill="F8FAFC"/>
          </w:tcPr>
          <w:p>
            <w:pPr>
              <w:jc w:val="left"/>
            </w:pPr>
            <w:r>
              <w:rPr>
                <w:rFonts w:ascii="Times New Roman" w:hAnsi="Times New Roman"/>
                <w:color w:val="334155"/>
                <w:sz w:val="20"/>
              </w:rPr>
              <w:t>Operating System</w:t>
            </w:r>
          </w:p>
        </w:tc>
        <w:tc>
          <w:tcPr>
            <w:tcW w:type="dxa" w:w="5040"/>
            <w:shd w:fill="F8FAFC"/>
          </w:tcPr>
          <w:p>
            <w:pPr>
              <w:jc w:val="center"/>
            </w:pPr>
            <w:r>
              <w:rPr>
                <w:rFonts w:ascii="Times New Roman" w:hAnsi="Times New Roman"/>
                <w:color w:val="334155"/>
                <w:sz w:val="20"/>
              </w:rPr>
              <w:t>Microsoft Windows 10/11 (64-bit) / Ubuntu Linux 22.04 LTS</w:t>
            </w:r>
          </w:p>
        </w:tc>
      </w:tr>
      <w:tr>
        <w:tc>
          <w:tcPr>
            <w:tcW w:type="dxa" w:w="1152"/>
            <w:shd w:fill="FFFFFF"/>
          </w:tcPr>
          <w:p>
            <w:pPr>
              <w:jc w:val="center"/>
            </w:pPr>
            <w:r>
              <w:rPr>
                <w:rFonts w:ascii="Times New Roman" w:hAnsi="Times New Roman"/>
                <w:color w:val="334155"/>
                <w:sz w:val="20"/>
              </w:rPr>
              <w:t>2</w:t>
            </w:r>
          </w:p>
        </w:tc>
        <w:tc>
          <w:tcPr>
            <w:tcW w:type="dxa" w:w="3168"/>
            <w:shd w:fill="FFFFFF"/>
          </w:tcPr>
          <w:p>
            <w:pPr>
              <w:jc w:val="left"/>
            </w:pPr>
            <w:r>
              <w:rPr>
                <w:rFonts w:ascii="Times New Roman" w:hAnsi="Times New Roman"/>
                <w:color w:val="334155"/>
                <w:sz w:val="20"/>
              </w:rPr>
              <w:t>Programming Language</w:t>
            </w:r>
          </w:p>
        </w:tc>
        <w:tc>
          <w:tcPr>
            <w:tcW w:type="dxa" w:w="5040"/>
            <w:shd w:fill="FFFFFF"/>
          </w:tcPr>
          <w:p>
            <w:pPr>
              <w:jc w:val="center"/>
            </w:pPr>
            <w:r>
              <w:rPr>
                <w:rFonts w:ascii="Times New Roman" w:hAnsi="Times New Roman"/>
                <w:color w:val="334155"/>
                <w:sz w:val="20"/>
              </w:rPr>
              <w:t>Python 3.11+ / Python 3.14 (with type annotations and dataclasses)</w:t>
            </w:r>
          </w:p>
        </w:tc>
      </w:tr>
      <w:tr>
        <w:tc>
          <w:tcPr>
            <w:tcW w:type="dxa" w:w="1152"/>
            <w:shd w:fill="F8FAFC"/>
          </w:tcPr>
          <w:p>
            <w:pPr>
              <w:jc w:val="center"/>
            </w:pPr>
            <w:r>
              <w:rPr>
                <w:rFonts w:ascii="Times New Roman" w:hAnsi="Times New Roman"/>
                <w:color w:val="334155"/>
                <w:sz w:val="20"/>
              </w:rPr>
              <w:t>3</w:t>
            </w:r>
          </w:p>
        </w:tc>
        <w:tc>
          <w:tcPr>
            <w:tcW w:type="dxa" w:w="3168"/>
            <w:shd w:fill="F8FAFC"/>
          </w:tcPr>
          <w:p>
            <w:pPr>
              <w:jc w:val="left"/>
            </w:pPr>
            <w:r>
              <w:rPr>
                <w:rFonts w:ascii="Times New Roman" w:hAnsi="Times New Roman"/>
                <w:color w:val="334155"/>
                <w:sz w:val="20"/>
              </w:rPr>
              <w:t>Language Model Backbone</w:t>
            </w:r>
          </w:p>
        </w:tc>
        <w:tc>
          <w:tcPr>
            <w:tcW w:type="dxa" w:w="5040"/>
            <w:shd w:fill="F8FAFC"/>
          </w:tcPr>
          <w:p>
            <w:pPr>
              <w:jc w:val="center"/>
            </w:pPr>
            <w:r>
              <w:rPr>
                <w:rFonts w:ascii="Times New Roman" w:hAnsi="Times New Roman"/>
                <w:color w:val="334155"/>
                <w:sz w:val="20"/>
              </w:rPr>
              <w:t>Google Gemma 4 (instruction-tuned open-weight LLM)</w:t>
            </w:r>
          </w:p>
        </w:tc>
      </w:tr>
      <w:tr>
        <w:tc>
          <w:tcPr>
            <w:tcW w:type="dxa" w:w="1152"/>
            <w:shd w:fill="FFFFFF"/>
          </w:tcPr>
          <w:p>
            <w:pPr>
              <w:jc w:val="center"/>
            </w:pPr>
            <w:r>
              <w:rPr>
                <w:rFonts w:ascii="Times New Roman" w:hAnsi="Times New Roman"/>
                <w:color w:val="334155"/>
                <w:sz w:val="20"/>
              </w:rPr>
              <w:t>4</w:t>
            </w:r>
          </w:p>
        </w:tc>
        <w:tc>
          <w:tcPr>
            <w:tcW w:type="dxa" w:w="3168"/>
            <w:shd w:fill="FFFFFF"/>
          </w:tcPr>
          <w:p>
            <w:pPr>
              <w:jc w:val="left"/>
            </w:pPr>
            <w:r>
              <w:rPr>
                <w:rFonts w:ascii="Times New Roman" w:hAnsi="Times New Roman"/>
                <w:color w:val="334155"/>
                <w:sz w:val="20"/>
              </w:rPr>
              <w:t>API SDK Framework</w:t>
            </w:r>
          </w:p>
        </w:tc>
        <w:tc>
          <w:tcPr>
            <w:tcW w:type="dxa" w:w="5040"/>
            <w:shd w:fill="FFFFFF"/>
          </w:tcPr>
          <w:p>
            <w:pPr>
              <w:jc w:val="center"/>
            </w:pPr>
            <w:r>
              <w:rPr>
                <w:rFonts w:ascii="Times New Roman" w:hAnsi="Times New Roman"/>
                <w:color w:val="334155"/>
                <w:sz w:val="20"/>
              </w:rPr>
              <w:t>google-genai SDK (v2.33+) / Google AI Studio API</w:t>
            </w:r>
          </w:p>
        </w:tc>
      </w:tr>
      <w:tr>
        <w:tc>
          <w:tcPr>
            <w:tcW w:type="dxa" w:w="1152"/>
            <w:shd w:fill="F8FAFC"/>
          </w:tcPr>
          <w:p>
            <w:pPr>
              <w:jc w:val="center"/>
            </w:pPr>
            <w:r>
              <w:rPr>
                <w:rFonts w:ascii="Times New Roman" w:hAnsi="Times New Roman"/>
                <w:color w:val="334155"/>
                <w:sz w:val="20"/>
              </w:rPr>
              <w:t>5</w:t>
            </w:r>
          </w:p>
        </w:tc>
        <w:tc>
          <w:tcPr>
            <w:tcW w:type="dxa" w:w="3168"/>
            <w:shd w:fill="F8FAFC"/>
          </w:tcPr>
          <w:p>
            <w:pPr>
              <w:jc w:val="left"/>
            </w:pPr>
            <w:r>
              <w:rPr>
                <w:rFonts w:ascii="Times New Roman" w:hAnsi="Times New Roman"/>
                <w:color w:val="334155"/>
                <w:sz w:val="20"/>
              </w:rPr>
              <w:t>Data Science Libraries</w:t>
            </w:r>
          </w:p>
        </w:tc>
        <w:tc>
          <w:tcPr>
            <w:tcW w:type="dxa" w:w="5040"/>
            <w:shd w:fill="F8FAFC"/>
          </w:tcPr>
          <w:p>
            <w:pPr>
              <w:jc w:val="center"/>
            </w:pPr>
            <w:r>
              <w:rPr>
                <w:rFonts w:ascii="Times New Roman" w:hAnsi="Times New Roman"/>
                <w:color w:val="334155"/>
                <w:sz w:val="20"/>
              </w:rPr>
              <w:t>Pandas 3.1+, NumPy 2.5+, Matplotlib 3.11+, Seaborn 0.13+</w:t>
            </w:r>
          </w:p>
        </w:tc>
      </w:tr>
      <w:tr>
        <w:tc>
          <w:tcPr>
            <w:tcW w:type="dxa" w:w="1152"/>
            <w:shd w:fill="FFFFFF"/>
          </w:tcPr>
          <w:p>
            <w:pPr>
              <w:jc w:val="center"/>
            </w:pPr>
            <w:r>
              <w:rPr>
                <w:rFonts w:ascii="Times New Roman" w:hAnsi="Times New Roman"/>
                <w:color w:val="334155"/>
                <w:sz w:val="20"/>
              </w:rPr>
              <w:t>6</w:t>
            </w:r>
          </w:p>
        </w:tc>
        <w:tc>
          <w:tcPr>
            <w:tcW w:type="dxa" w:w="3168"/>
            <w:shd w:fill="FFFFFF"/>
          </w:tcPr>
          <w:p>
            <w:pPr>
              <w:jc w:val="left"/>
            </w:pPr>
            <w:r>
              <w:rPr>
                <w:rFonts w:ascii="Times New Roman" w:hAnsi="Times New Roman"/>
                <w:color w:val="334155"/>
                <w:sz w:val="20"/>
              </w:rPr>
              <w:t>Interactive Web Interface</w:t>
            </w:r>
          </w:p>
        </w:tc>
        <w:tc>
          <w:tcPr>
            <w:tcW w:type="dxa" w:w="5040"/>
            <w:shd w:fill="FFFFFF"/>
          </w:tcPr>
          <w:p>
            <w:pPr>
              <w:jc w:val="center"/>
            </w:pPr>
            <w:r>
              <w:rPr>
                <w:rFonts w:ascii="Times New Roman" w:hAnsi="Times New Roman"/>
                <w:color w:val="334155"/>
                <w:sz w:val="20"/>
              </w:rPr>
              <w:t>Streamlit 1.66+ &amp; Plotly 7.1+</w:t>
            </w:r>
          </w:p>
        </w:tc>
      </w:tr>
      <w:tr>
        <w:tc>
          <w:tcPr>
            <w:tcW w:type="dxa" w:w="1152"/>
            <w:shd w:fill="F8FAFC"/>
          </w:tcPr>
          <w:p>
            <w:pPr>
              <w:jc w:val="center"/>
            </w:pPr>
            <w:r>
              <w:rPr>
                <w:rFonts w:ascii="Times New Roman" w:hAnsi="Times New Roman"/>
                <w:color w:val="334155"/>
                <w:sz w:val="20"/>
              </w:rPr>
              <w:t>7</w:t>
            </w:r>
          </w:p>
        </w:tc>
        <w:tc>
          <w:tcPr>
            <w:tcW w:type="dxa" w:w="3168"/>
            <w:shd w:fill="F8FAFC"/>
          </w:tcPr>
          <w:p>
            <w:pPr>
              <w:jc w:val="left"/>
            </w:pPr>
            <w:r>
              <w:rPr>
                <w:rFonts w:ascii="Times New Roman" w:hAnsi="Times New Roman"/>
                <w:color w:val="334155"/>
                <w:sz w:val="20"/>
              </w:rPr>
              <w:t>Data Storage Format</w:t>
            </w:r>
          </w:p>
        </w:tc>
        <w:tc>
          <w:tcPr>
            <w:tcW w:type="dxa" w:w="5040"/>
            <w:shd w:fill="F8FAFC"/>
          </w:tcPr>
          <w:p>
            <w:pPr>
              <w:jc w:val="center"/>
            </w:pPr>
            <w:r>
              <w:rPr>
                <w:rFonts w:ascii="Times New Roman" w:hAnsi="Times New Roman"/>
                <w:color w:val="334155"/>
                <w:sz w:val="20"/>
              </w:rPr>
              <w:t>Structured JSON Schema (for session transcripts)</w:t>
            </w:r>
          </w:p>
        </w:tc>
      </w:tr>
      <w:tr>
        <w:tc>
          <w:tcPr>
            <w:tcW w:type="dxa" w:w="1152"/>
            <w:shd w:fill="FFFFFF"/>
          </w:tcPr>
          <w:p>
            <w:pPr>
              <w:jc w:val="center"/>
            </w:pPr>
            <w:r>
              <w:rPr>
                <w:rFonts w:ascii="Times New Roman" w:hAnsi="Times New Roman"/>
                <w:color w:val="334155"/>
                <w:sz w:val="20"/>
              </w:rPr>
              <w:t>8</w:t>
            </w:r>
          </w:p>
        </w:tc>
        <w:tc>
          <w:tcPr>
            <w:tcW w:type="dxa" w:w="3168"/>
            <w:shd w:fill="FFFFFF"/>
          </w:tcPr>
          <w:p>
            <w:pPr>
              <w:jc w:val="left"/>
            </w:pPr>
            <w:r>
              <w:rPr>
                <w:rFonts w:ascii="Times New Roman" w:hAnsi="Times New Roman"/>
                <w:color w:val="334155"/>
                <w:sz w:val="20"/>
              </w:rPr>
              <w:t>Development Tools</w:t>
            </w:r>
          </w:p>
        </w:tc>
        <w:tc>
          <w:tcPr>
            <w:tcW w:type="dxa" w:w="5040"/>
            <w:shd w:fill="FFFFFF"/>
          </w:tcPr>
          <w:p>
            <w:pPr>
              <w:jc w:val="center"/>
            </w:pPr>
            <w:r>
              <w:rPr>
                <w:rFonts w:ascii="Times New Roman" w:hAnsi="Times New Roman"/>
                <w:color w:val="334155"/>
                <w:sz w:val="20"/>
              </w:rPr>
              <w:t>Visual Studio Code, Git Version Control, PowerShell</w:t>
            </w:r>
          </w:p>
        </w:tc>
      </w:tr>
    </w:tbl>
    <w:p>
      <w:pPr>
        <w:keepNext/>
        <w:spacing w:before="240" w:after="80"/>
      </w:pPr>
      <w:r>
        <w:rPr>
          <w:rFonts w:ascii="Times New Roman" w:hAnsi="Times New Roman"/>
          <w:b/>
          <w:color w:val="0F172A"/>
          <w:sz w:val="26"/>
        </w:rPr>
        <w:t>3.3 Existing Work &amp; Literature Review</w:t>
      </w:r>
    </w:p>
    <w:p>
      <w:pPr>
        <w:keepNext/>
        <w:spacing w:before="160" w:after="40"/>
      </w:pPr>
      <w:r>
        <w:rPr>
          <w:rFonts w:ascii="Times New Roman" w:hAnsi="Times New Roman"/>
          <w:b/>
          <w:color w:val="0F172A"/>
          <w:sz w:val="24"/>
        </w:rPr>
        <w:t>3.3.1 Strengths of Existing Works</w:t>
      </w:r>
    </w:p>
    <w:p>
      <w:pPr>
        <w:spacing w:line="360" w:lineRule="auto" w:after="120"/>
        <w:jc w:val="both"/>
      </w:pPr>
      <w:r>
        <w:rPr>
          <w:rFonts w:ascii="Times New Roman" w:hAnsi="Times New Roman"/>
          <w:color w:val="334155"/>
          <w:sz w:val="24"/>
        </w:rPr>
        <w:t>Classical research in automated negotiation produced foundational formalisms. The Rubinstein Bargaining Model (1982) and the Automated Negotiating Agents Competition (ANAC) established clear mathematical benchmarks for evaluating concession tactics, time-discounting algorithms, and reservation price thresholds. Recent explorations in NLP have demonstrated that LLMs can roleplay conversational scenarios convincingly, generating persuasive text and acknowledging opponent arguments.</w:t>
      </w:r>
    </w:p>
    <w:p>
      <w:pPr>
        <w:keepNext/>
        <w:spacing w:before="160" w:after="40"/>
      </w:pPr>
      <w:r>
        <w:rPr>
          <w:rFonts w:ascii="Times New Roman" w:hAnsi="Times New Roman"/>
          <w:b/>
          <w:color w:val="0F172A"/>
          <w:sz w:val="24"/>
        </w:rPr>
        <w:t>3.3.2 Limitations &amp; Shortcomings of Existing Work</w:t>
      </w:r>
    </w:p>
    <w:p>
      <w:pPr>
        <w:spacing w:line="360" w:lineRule="auto" w:after="120"/>
        <w:jc w:val="both"/>
      </w:pPr>
      <w:r>
        <w:rPr>
          <w:rFonts w:ascii="Times New Roman" w:hAnsi="Times New Roman"/>
          <w:color w:val="334155"/>
          <w:sz w:val="24"/>
        </w:rPr>
        <w:t>Despite these advances, existing research exhibits significant shortcomings:</w:t>
      </w:r>
    </w:p>
    <w:p>
      <w:pPr>
        <w:pStyle w:val="ListBullet"/>
        <w:spacing w:after="60" w:line="300" w:lineRule="auto"/>
      </w:pPr>
      <w:r>
        <w:rPr>
          <w:rFonts w:ascii="Times New Roman" w:hAnsi="Times New Roman"/>
          <w:b/>
          <w:color w:val="0F172A"/>
        </w:rPr>
        <w:t xml:space="preserve">Rigid Protocol Limitations: </w:t>
      </w:r>
      <w:r>
        <w:rPr>
          <w:rFonts w:ascii="Times New Roman" w:hAnsi="Times New Roman"/>
          <w:color w:val="334155"/>
          <w:sz w:val="23"/>
        </w:rPr>
        <w:t>Traditional ANAC heuristic agents lack natural language capabilities; they trade numbers in abstract multidimensional utility spaces without persuasive dialogue.</w:t>
      </w:r>
    </w:p>
    <w:p>
      <w:pPr>
        <w:pStyle w:val="ListBullet"/>
        <w:spacing w:after="60" w:line="300" w:lineRule="auto"/>
      </w:pPr>
      <w:r>
        <w:rPr>
          <w:rFonts w:ascii="Times New Roman" w:hAnsi="Times New Roman"/>
          <w:b/>
          <w:color w:val="0F172A"/>
        </w:rPr>
        <w:t xml:space="preserve">Single-Agent Cooperative Bias: </w:t>
      </w:r>
      <w:r>
        <w:rPr>
          <w:rFonts w:ascii="Times New Roman" w:hAnsi="Times New Roman"/>
          <w:color w:val="334155"/>
          <w:sz w:val="23"/>
        </w:rPr>
        <w:t>Commercial conversational systems (ChatGPT, Claude, Gemini) are predominantly configured for cooperative human-agent assistance. Few publicly accessible, reproducible frameworks study adversarial agent-agent dynamics.</w:t>
      </w:r>
    </w:p>
    <w:p>
      <w:pPr>
        <w:pStyle w:val="ListBullet"/>
        <w:spacing w:after="60" w:line="300" w:lineRule="auto"/>
      </w:pPr>
      <w:r>
        <w:rPr>
          <w:rFonts w:ascii="Times New Roman" w:hAnsi="Times New Roman"/>
          <w:b/>
          <w:color w:val="0F172A"/>
        </w:rPr>
        <w:t xml:space="preserve">Reproducibility Deficits: </w:t>
      </w:r>
      <w:r>
        <w:rPr>
          <w:rFonts w:ascii="Times New Roman" w:hAnsi="Times New Roman"/>
          <w:color w:val="334155"/>
          <w:sz w:val="23"/>
        </w:rPr>
        <w:t>Many prior studies in LLM negotiation rely on proprietary, closed-weight models (such as GPT-4) with high recurring per-token costs and fluctuating model weights, impairing scientific reproducibility.</w:t>
      </w:r>
    </w:p>
    <w:p>
      <w:pPr>
        <w:keepNext/>
        <w:spacing w:before="240" w:after="80"/>
      </w:pPr>
      <w:r>
        <w:rPr>
          <w:rFonts w:ascii="Times New Roman" w:hAnsi="Times New Roman"/>
          <w:b/>
          <w:color w:val="0F172A"/>
          <w:sz w:val="26"/>
        </w:rPr>
        <w:t>3.4 Gap Analysis &amp; Project Contributions</w:t>
      </w:r>
    </w:p>
    <w:p>
      <w:pPr>
        <w:spacing w:line="360" w:lineRule="auto" w:after="120"/>
        <w:jc w:val="both"/>
      </w:pPr>
      <w:r>
        <w:rPr>
          <w:rFonts w:ascii="Times New Roman" w:hAnsi="Times New Roman"/>
          <w:color w:val="334155"/>
          <w:sz w:val="24"/>
        </w:rPr>
        <w:t>Project Concord directly addresses these gaps through several novel academic contributions:</w:t>
      </w:r>
    </w:p>
    <w:p>
      <w:pPr>
        <w:pStyle w:val="ListBullet"/>
        <w:spacing w:after="60" w:line="300" w:lineRule="auto"/>
      </w:pPr>
      <w:r>
        <w:rPr>
          <w:rFonts w:ascii="Times New Roman" w:hAnsi="Times New Roman"/>
          <w:b/>
          <w:color w:val="0F172A"/>
        </w:rPr>
        <w:t xml:space="preserve">1. Open-Weight Foundation: </w:t>
      </w:r>
      <w:r>
        <w:rPr>
          <w:rFonts w:ascii="Times New Roman" w:hAnsi="Times New Roman"/>
          <w:color w:val="334155"/>
          <w:sz w:val="23"/>
        </w:rPr>
        <w:t>By utilizing Google's open-weight Gemma 4 model, Concord offers an accessible, zero-token-cost, and reproducible negotiation benchmark suitable for academic study.</w:t>
      </w:r>
    </w:p>
    <w:p>
      <w:pPr>
        <w:pStyle w:val="ListBullet"/>
        <w:spacing w:after="60" w:line="300" w:lineRule="auto"/>
      </w:pPr>
      <w:r>
        <w:rPr>
          <w:rFonts w:ascii="Times New Roman" w:hAnsi="Times New Roman"/>
          <w:b/>
          <w:color w:val="0F172A"/>
        </w:rPr>
        <w:t xml:space="preserve">2. Dual-Plane Prompting: </w:t>
      </w:r>
      <w:r>
        <w:rPr>
          <w:rFonts w:ascii="Times New Roman" w:hAnsi="Times New Roman"/>
          <w:color w:val="334155"/>
          <w:sz w:val="23"/>
        </w:rPr>
        <w:t>A dual-plane prompt architecture cleanly decouples public strategic speech from private internal chain-of-thought reasoning.</w:t>
      </w:r>
    </w:p>
    <w:p>
      <w:pPr>
        <w:pStyle w:val="ListBullet"/>
        <w:spacing w:after="60" w:line="300" w:lineRule="auto"/>
      </w:pPr>
      <w:r>
        <w:rPr>
          <w:rFonts w:ascii="Times New Roman" w:hAnsi="Times New Roman"/>
          <w:b/>
          <w:color w:val="0F172A"/>
        </w:rPr>
        <w:t xml:space="preserve">3. Turnkey Orchestration: </w:t>
      </w:r>
      <w:r>
        <w:rPr>
          <w:rFonts w:ascii="Times New Roman" w:hAnsi="Times New Roman"/>
          <w:color w:val="334155"/>
          <w:sz w:val="23"/>
        </w:rPr>
        <w:t>Provides a complete end-to-end Python pipeline including turnkey execution (`run.py`), automated batch matrix evaluation, and interactive web visualization.</w:t>
      </w:r>
    </w:p>
    <w:p>
      <w:r>
        <w:br w:type="page"/>
      </w:r>
    </w:p>
    <w:p>
      <w:pPr>
        <w:keepNext/>
        <w:spacing w:before="320" w:after="120"/>
      </w:pPr>
      <w:r>
        <w:rPr>
          <w:rFonts w:ascii="Times New Roman" w:hAnsi="Times New Roman"/>
          <w:b/>
          <w:color w:val="1E3A8A"/>
          <w:sz w:val="30"/>
        </w:rPr>
        <w:t>CHAPTER 4: SYSTEM DESIGN &amp; UML MODELING</w:t>
      </w:r>
    </w:p>
    <w:p>
      <w:pPr>
        <w:keepNext/>
        <w:spacing w:before="240" w:after="80"/>
      </w:pPr>
      <w:r>
        <w:rPr>
          <w:rFonts w:ascii="Times New Roman" w:hAnsi="Times New Roman"/>
          <w:b/>
          <w:color w:val="0F172A"/>
          <w:sz w:val="26"/>
        </w:rPr>
        <w:t>4.1 System Architectural Design</w:t>
      </w:r>
    </w:p>
    <w:p>
      <w:pPr>
        <w:spacing w:line="360" w:lineRule="auto" w:after="120"/>
        <w:jc w:val="both"/>
      </w:pPr>
      <w:r>
        <w:rPr>
          <w:rFonts w:ascii="Times New Roman" w:hAnsi="Times New Roman"/>
          <w:color w:val="334155"/>
          <w:sz w:val="24"/>
        </w:rPr>
        <w:t>The Concord architecture is organized into four modular, decoupled layers: Configuration Layer, Agent Framework Layer, Orchestration &amp; Logging Layer, and Analysis &amp; Visualization Layer.</w:t>
      </w:r>
    </w:p>
    <w:p>
      <w:pPr>
        <w:spacing w:before="160" w:after="80"/>
        <w:jc w:val="center"/>
      </w:pPr>
      <w:r>
        <w:drawing>
          <wp:inline xmlns:a="http://schemas.openxmlformats.org/drawingml/2006/main" xmlns:pic="http://schemas.openxmlformats.org/drawingml/2006/picture">
            <wp:extent cx="5120640" cy="3051695"/>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120640" cy="3051695"/>
                    </a:xfrm>
                    <a:prstGeom prst="rect"/>
                  </pic:spPr>
                </pic:pic>
              </a:graphicData>
            </a:graphic>
          </wp:inline>
        </w:drawing>
      </w:r>
    </w:p>
    <w:p>
      <w:pPr>
        <w:spacing w:after="240"/>
        <w:jc w:val="center"/>
      </w:pPr>
      <w:r>
        <w:rPr>
          <w:rFonts w:ascii="Times New Roman" w:hAnsi="Times New Roman"/>
          <w:i/>
          <w:color w:val="334155"/>
          <w:sz w:val="21"/>
        </w:rPr>
        <w:t>Figure 4.1: Concord Multi-Agent Negotiation Architectural Flow</w:t>
      </w:r>
    </w:p>
    <w:p>
      <w:pPr>
        <w:spacing w:line="360" w:lineRule="auto" w:after="120"/>
        <w:jc w:val="both"/>
      </w:pPr>
      <w:r>
        <w:rPr>
          <w:rFonts w:ascii="Times New Roman" w:hAnsi="Times New Roman"/>
          <w:color w:val="334155"/>
          <w:sz w:val="24"/>
        </w:rPr>
        <w:t>As depicted in Figure 4.1, the Negotiation Engine coordinates the entire simulation. It takes configuration inputs (reservation values, item attributes, persona selections, and information modes) and initializes the BuyerAgent and SellerAgent. The agents alternate turns, sending structured actions to the engine, which verifies termination conditions, records turns via TranscriptLogger, and sends structured JSON outputs to the Analysis Engine and Web UI.</w:t>
      </w:r>
    </w:p>
    <w:p>
      <w:pPr>
        <w:keepNext/>
        <w:spacing w:before="240" w:after="80"/>
      </w:pPr>
      <w:r>
        <w:rPr>
          <w:rFonts w:ascii="Times New Roman" w:hAnsi="Times New Roman"/>
          <w:b/>
          <w:color w:val="0F172A"/>
          <w:sz w:val="26"/>
        </w:rPr>
        <w:t>4.2 Use Case Diagram</w:t>
      </w:r>
    </w:p>
    <w:p>
      <w:pPr>
        <w:spacing w:line="360" w:lineRule="auto" w:after="120"/>
        <w:jc w:val="both"/>
      </w:pPr>
      <w:r>
        <w:rPr>
          <w:rFonts w:ascii="Times New Roman" w:hAnsi="Times New Roman"/>
          <w:color w:val="334155"/>
          <w:sz w:val="24"/>
        </w:rPr>
        <w:t>The Use Case Diagram defines the interactions between the primary actor (the Researcher / Student) and the functional modules of Concord.</w:t>
      </w:r>
    </w:p>
    <w:p>
      <w:pPr>
        <w:spacing w:before="160" w:after="80"/>
        <w:jc w:val="center"/>
      </w:pPr>
      <w:r>
        <w:drawing>
          <wp:inline xmlns:a="http://schemas.openxmlformats.org/drawingml/2006/main" xmlns:pic="http://schemas.openxmlformats.org/drawingml/2006/picture">
            <wp:extent cx="4937760" cy="3017986"/>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4937760" cy="3017986"/>
                    </a:xfrm>
                    <a:prstGeom prst="rect"/>
                  </pic:spPr>
                </pic:pic>
              </a:graphicData>
            </a:graphic>
          </wp:inline>
        </w:drawing>
      </w:r>
    </w:p>
    <w:p>
      <w:pPr>
        <w:spacing w:after="240"/>
        <w:jc w:val="center"/>
      </w:pPr>
      <w:r>
        <w:rPr>
          <w:rFonts w:ascii="Times New Roman" w:hAnsi="Times New Roman"/>
          <w:i/>
          <w:color w:val="334155"/>
          <w:sz w:val="21"/>
        </w:rPr>
        <w:t>Figure 4.2: Concord System Use Case Diagram</w:t>
      </w:r>
    </w:p>
    <w:p>
      <w:pPr>
        <w:spacing w:line="360" w:lineRule="auto" w:after="120"/>
        <w:jc w:val="both"/>
      </w:pPr>
      <w:r>
        <w:rPr>
          <w:rFonts w:ascii="Times New Roman" w:hAnsi="Times New Roman"/>
          <w:color w:val="334155"/>
          <w:sz w:val="24"/>
        </w:rPr>
        <w:t>As illustrated in Figure 4.2, the user interacts with the system through five key use cases:</w:t>
      </w:r>
    </w:p>
    <w:p>
      <w:pPr>
        <w:pStyle w:val="ListBullet"/>
        <w:spacing w:after="60" w:line="300" w:lineRule="auto"/>
      </w:pPr>
      <w:r>
        <w:rPr>
          <w:rFonts w:ascii="Times New Roman" w:hAnsi="Times New Roman"/>
          <w:b/>
          <w:color w:val="0F172A"/>
        </w:rPr>
        <w:t xml:space="preserve">Configure Scenario: </w:t>
      </w:r>
      <w:r>
        <w:rPr>
          <w:rFonts w:ascii="Times New Roman" w:hAnsi="Times New Roman"/>
          <w:color w:val="334155"/>
          <w:sz w:val="23"/>
        </w:rPr>
        <w:t>Select item metadata, buyer/seller reservation prices, personas, and information modes.</w:t>
      </w:r>
    </w:p>
    <w:p>
      <w:pPr>
        <w:pStyle w:val="ListBullet"/>
        <w:spacing w:after="60" w:line="300" w:lineRule="auto"/>
      </w:pPr>
      <w:r>
        <w:rPr>
          <w:rFonts w:ascii="Times New Roman" w:hAnsi="Times New Roman"/>
          <w:b/>
          <w:color w:val="0F172A"/>
        </w:rPr>
        <w:t xml:space="preserve">Execute Autonomous Negotiation: </w:t>
      </w:r>
      <w:r>
        <w:rPr>
          <w:rFonts w:ascii="Times New Roman" w:hAnsi="Times New Roman"/>
          <w:color w:val="334155"/>
          <w:sz w:val="23"/>
        </w:rPr>
        <w:t>Run single bilateral turn-by-turn bargaining sessions with real-time console or UI output.</w:t>
      </w:r>
    </w:p>
    <w:p>
      <w:pPr>
        <w:pStyle w:val="ListBullet"/>
        <w:spacing w:after="60" w:line="300" w:lineRule="auto"/>
      </w:pPr>
      <w:r>
        <w:rPr>
          <w:rFonts w:ascii="Times New Roman" w:hAnsi="Times New Roman"/>
          <w:b/>
          <w:color w:val="0F172A"/>
        </w:rPr>
        <w:t xml:space="preserve">Batch Experiment Runner: </w:t>
      </w:r>
      <w:r>
        <w:rPr>
          <w:rFonts w:ascii="Times New Roman" w:hAnsi="Times New Roman"/>
          <w:color w:val="334155"/>
          <w:sz w:val="23"/>
        </w:rPr>
        <w:t>Execute factorial matrices (18–27 conditions $\times$ multiple trials) sequentially or in parallel.</w:t>
      </w:r>
    </w:p>
    <w:p>
      <w:pPr>
        <w:pStyle w:val="ListBullet"/>
        <w:spacing w:after="60" w:line="300" w:lineRule="auto"/>
      </w:pPr>
      <w:r>
        <w:rPr>
          <w:rFonts w:ascii="Times New Roman" w:hAnsi="Times New Roman"/>
          <w:b/>
          <w:color w:val="0F172A"/>
        </w:rPr>
        <w:t xml:space="preserve">Analyze Economic Metrics: </w:t>
      </w:r>
      <w:r>
        <w:rPr>
          <w:rFonts w:ascii="Times New Roman" w:hAnsi="Times New Roman"/>
          <w:color w:val="334155"/>
          <w:sz w:val="23"/>
        </w:rPr>
        <w:t>Generate summary statistics, surplus distributions, and convergence boxplots.</w:t>
      </w:r>
    </w:p>
    <w:p>
      <w:pPr>
        <w:pStyle w:val="ListBullet"/>
        <w:spacing w:after="60" w:line="300" w:lineRule="auto"/>
      </w:pPr>
      <w:r>
        <w:rPr>
          <w:rFonts w:ascii="Times New Roman" w:hAnsi="Times New Roman"/>
          <w:b/>
          <w:color w:val="0F172A"/>
        </w:rPr>
        <w:t xml:space="preserve">Web Dashboard Explorer: </w:t>
      </w:r>
      <w:r>
        <w:rPr>
          <w:rFonts w:ascii="Times New Roman" w:hAnsi="Times New Roman"/>
          <w:color w:val="334155"/>
          <w:sz w:val="23"/>
        </w:rPr>
        <w:t>Inspect turn-by-turn dialogue, reasoning logs, and outcome charts.</w:t>
      </w:r>
    </w:p>
    <w:p>
      <w:pPr>
        <w:keepNext/>
        <w:spacing w:before="240" w:after="80"/>
      </w:pPr>
      <w:r>
        <w:rPr>
          <w:rFonts w:ascii="Times New Roman" w:hAnsi="Times New Roman"/>
          <w:b/>
          <w:color w:val="0F172A"/>
          <w:sz w:val="26"/>
        </w:rPr>
        <w:t>4.3 Sequence Diagram</w:t>
      </w:r>
    </w:p>
    <w:p>
      <w:pPr>
        <w:spacing w:line="360" w:lineRule="auto" w:after="120"/>
        <w:jc w:val="both"/>
      </w:pPr>
      <w:r>
        <w:rPr>
          <w:rFonts w:ascii="Times New Roman" w:hAnsi="Times New Roman"/>
          <w:color w:val="334155"/>
          <w:sz w:val="24"/>
        </w:rPr>
        <w:t>The Sequence Diagram details the chronological message flow across the components during an active negotiation.</w:t>
      </w:r>
    </w:p>
    <w:p>
      <w:pPr>
        <w:spacing w:before="160" w:after="80"/>
        <w:jc w:val="center"/>
      </w:pPr>
      <w:r>
        <w:drawing>
          <wp:inline xmlns:a="http://schemas.openxmlformats.org/drawingml/2006/main" xmlns:pic="http://schemas.openxmlformats.org/drawingml/2006/picture">
            <wp:extent cx="5029200" cy="3251200"/>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5029200" cy="3251200"/>
                    </a:xfrm>
                    <a:prstGeom prst="rect"/>
                  </pic:spPr>
                </pic:pic>
              </a:graphicData>
            </a:graphic>
          </wp:inline>
        </w:drawing>
      </w:r>
    </w:p>
    <w:p>
      <w:pPr>
        <w:spacing w:after="240"/>
        <w:jc w:val="center"/>
      </w:pPr>
      <w:r>
        <w:rPr>
          <w:rFonts w:ascii="Times New Roman" w:hAnsi="Times New Roman"/>
          <w:i/>
          <w:color w:val="334155"/>
          <w:sz w:val="21"/>
        </w:rPr>
        <w:t>Figure 4.3: Turn-by-Turn Bilateral Negotiation Sequence Diagram</w:t>
      </w:r>
    </w:p>
    <w:p>
      <w:pPr>
        <w:spacing w:line="360" w:lineRule="auto" w:after="120"/>
        <w:jc w:val="both"/>
      </w:pPr>
      <w:r>
        <w:rPr>
          <w:rFonts w:ascii="Times New Roman" w:hAnsi="Times New Roman"/>
          <w:color w:val="334155"/>
          <w:sz w:val="24"/>
        </w:rPr>
        <w:t>Figure 4.3 highlights the strict alternation protocol:</w:t>
      </w:r>
    </w:p>
    <w:p>
      <w:pPr>
        <w:spacing w:line="360" w:lineRule="auto" w:after="120"/>
        <w:jc w:val="both"/>
      </w:pPr>
      <w:r>
        <w:rPr>
          <w:rFonts w:ascii="Times New Roman" w:hAnsi="Times New Roman"/>
          <w:color w:val="334155"/>
          <w:sz w:val="24"/>
        </w:rPr>
        <w:t>1. The Seller opens the negotiation at Turn 1 by proposing an initial asking price ($95.00) alongside persuasive arguments.</w:t>
        <w:br/>
        <w:t>2. The Orchestrator logs the turn and transmits the public conversational history to the Buyer Agent.</w:t>
        <w:br/>
        <w:t>3. The Buyer deliberates privately, formulating a counter-offer ($67.00) based on its persona constraints.</w:t>
        <w:br/>
        <w:t>4. Turns alternate iteratively with mutual concessions until an acceptance action is triggered at Turn 8 ($84.50), causing the engine to terminate the session, persist transcripts, and compute surpluses.</w:t>
      </w:r>
    </w:p>
    <w:p>
      <w:pPr>
        <w:keepNext/>
        <w:spacing w:before="240" w:after="80"/>
      </w:pPr>
      <w:r>
        <w:rPr>
          <w:rFonts w:ascii="Times New Roman" w:hAnsi="Times New Roman"/>
          <w:b/>
          <w:color w:val="0F172A"/>
          <w:sz w:val="26"/>
        </w:rPr>
        <w:t>4.4 State Machine Diagram</w:t>
      </w:r>
    </w:p>
    <w:p>
      <w:pPr>
        <w:spacing w:line="360" w:lineRule="auto" w:after="120"/>
        <w:jc w:val="both"/>
      </w:pPr>
      <w:r>
        <w:rPr>
          <w:rFonts w:ascii="Times New Roman" w:hAnsi="Times New Roman"/>
          <w:color w:val="334155"/>
          <w:sz w:val="24"/>
        </w:rPr>
        <w:t>The lifecycle of a negotiation session is governed by a finite state machine enforced by the `TerminationChecker` module.</w:t>
      </w:r>
    </w:p>
    <w:p>
      <w:pPr>
        <w:spacing w:before="160" w:after="80"/>
        <w:jc w:val="center"/>
      </w:pPr>
      <w:r>
        <w:drawing>
          <wp:inline xmlns:a="http://schemas.openxmlformats.org/drawingml/2006/main" xmlns:pic="http://schemas.openxmlformats.org/drawingml/2006/picture">
            <wp:extent cx="5029200" cy="2489200"/>
            <wp:docPr id="5" name="Picture 5"/>
            <wp:cNvGraphicFramePr>
              <a:graphicFrameLocks noChangeAspect="1"/>
            </wp:cNvGraphicFramePr>
            <a:graphic>
              <a:graphicData uri="http://schemas.openxmlformats.org/drawingml/2006/picture">
                <pic:pic>
                  <pic:nvPicPr>
                    <pic:cNvPr id="0" name="state_diagram.png"/>
                    <pic:cNvPicPr/>
                  </pic:nvPicPr>
                  <pic:blipFill>
                    <a:blip r:embed="rId13"/>
                    <a:stretch>
                      <a:fillRect/>
                    </a:stretch>
                  </pic:blipFill>
                  <pic:spPr>
                    <a:xfrm>
                      <a:off x="0" y="0"/>
                      <a:ext cx="5029200" cy="2489200"/>
                    </a:xfrm>
                    <a:prstGeom prst="rect"/>
                  </pic:spPr>
                </pic:pic>
              </a:graphicData>
            </a:graphic>
          </wp:inline>
        </w:drawing>
      </w:r>
    </w:p>
    <w:p>
      <w:pPr>
        <w:spacing w:after="240"/>
        <w:jc w:val="center"/>
      </w:pPr>
      <w:r>
        <w:rPr>
          <w:rFonts w:ascii="Times New Roman" w:hAnsi="Times New Roman"/>
          <w:i/>
          <w:color w:val="334155"/>
          <w:sz w:val="21"/>
        </w:rPr>
        <w:t>Figure 4.4: Negotiation Protocol State Machine Diagram</w:t>
      </w:r>
    </w:p>
    <w:p>
      <w:pPr>
        <w:spacing w:line="360" w:lineRule="auto" w:after="120"/>
        <w:jc w:val="both"/>
      </w:pPr>
      <w:r>
        <w:rPr>
          <w:rFonts w:ascii="Times New Roman" w:hAnsi="Times New Roman"/>
          <w:color w:val="334155"/>
          <w:sz w:val="24"/>
        </w:rPr>
        <w:t>As modeled in Figure 4.4, the system transitions from an initial `Idle` state into active bargaining turns (`Seller Turn` $\leftrightarrow$ `Buyer Turn`). At each turn transition, the `TerminationChecker` evaluates three exit conditions: (1) `Deal Reached` if an agent issues an accept action, (2) `Impasse` if an agent issues a walk_away action, or (3) `Turn Limit Reached` if the turn counter equals `max_turns`.</w:t>
      </w:r>
    </w:p>
    <w:p>
      <w:pPr>
        <w:keepNext/>
        <w:spacing w:before="240" w:after="80"/>
      </w:pPr>
      <w:r>
        <w:rPr>
          <w:rFonts w:ascii="Times New Roman" w:hAnsi="Times New Roman"/>
          <w:b/>
          <w:color w:val="0F172A"/>
          <w:sz w:val="26"/>
        </w:rPr>
        <w:t>4.5 Class &amp; Data Contract Design</w:t>
      </w:r>
    </w:p>
    <w:p>
      <w:pPr>
        <w:spacing w:line="360" w:lineRule="auto" w:after="120"/>
        <w:jc w:val="both"/>
      </w:pPr>
      <w:r>
        <w:rPr>
          <w:rFonts w:ascii="Times New Roman" w:hAnsi="Times New Roman"/>
          <w:color w:val="334155"/>
          <w:sz w:val="24"/>
        </w:rPr>
        <w:t>Concord employs strongly-typed Python dataclasses to establish rigid contracts across modules:</w:t>
      </w:r>
    </w:p>
    <w:tbl>
      <w:tblPr>
        <w:tblW w:type="auto" w:w="0"/>
        <w:jc w:val="center"/>
        <w:tblLook w:firstColumn="1" w:firstRow="1" w:lastColumn="0" w:lastRow="0" w:noHBand="0" w:noVBand="1" w:val="04A0"/>
      </w:tblPr>
      <w:tblGrid>
        <w:gridCol w:w="4680"/>
        <w:gridCol w:w="4680"/>
      </w:tblGrid>
      <w:tr>
        <w:tc>
          <w:tcPr>
            <w:tcW w:type="dxa" w:w="2880"/>
            <w:shd w:fill="1E3A8A"/>
          </w:tcPr>
          <w:p>
            <w:pPr>
              <w:jc w:val="center"/>
            </w:pPr>
            <w:r>
              <w:rPr>
                <w:rFonts w:ascii="Times New Roman" w:hAnsi="Times New Roman"/>
                <w:b/>
                <w:color w:val="FFFFFF"/>
                <w:sz w:val="21"/>
              </w:rPr>
              <w:t>Dataclass Entity</w:t>
            </w:r>
          </w:p>
        </w:tc>
        <w:tc>
          <w:tcPr>
            <w:tcW w:type="dxa" w:w="6480"/>
            <w:shd w:fill="1E3A8A"/>
          </w:tcPr>
          <w:p>
            <w:pPr>
              <w:jc w:val="center"/>
            </w:pPr>
            <w:r>
              <w:rPr>
                <w:rFonts w:ascii="Times New Roman" w:hAnsi="Times New Roman"/>
                <w:b/>
                <w:color w:val="FFFFFF"/>
                <w:sz w:val="21"/>
              </w:rPr>
              <w:t>Description &amp; Field Attributes</w:t>
            </w:r>
          </w:p>
        </w:tc>
      </w:tr>
      <w:tr>
        <w:tc>
          <w:tcPr>
            <w:tcW w:type="dxa" w:w="2880"/>
            <w:shd w:fill="F8FAFC"/>
          </w:tcPr>
          <w:p>
            <w:pPr>
              <w:jc w:val="center"/>
            </w:pPr>
            <w:r>
              <w:rPr>
                <w:rFonts w:ascii="Times New Roman" w:hAnsi="Times New Roman"/>
                <w:color w:val="334155"/>
                <w:sz w:val="20"/>
              </w:rPr>
              <w:t>NegotiationConfig</w:t>
            </w:r>
          </w:p>
        </w:tc>
        <w:tc>
          <w:tcPr>
            <w:tcW w:type="dxa" w:w="6480"/>
            <w:shd w:fill="F8FAFC"/>
          </w:tcPr>
          <w:p>
            <w:pPr>
              <w:jc w:val="left"/>
            </w:pPr>
            <w:r>
              <w:rPr>
                <w:rFonts w:ascii="Times New Roman" w:hAnsi="Times New Roman"/>
                <w:color w:val="334155"/>
                <w:sz w:val="20"/>
              </w:rPr>
              <w:t>Central configuration dataclass holding model_name, api_key, max_turns, buyer/seller reservation prices, item description, personas, info_mode, and output directory paths.</w:t>
            </w:r>
          </w:p>
        </w:tc>
      </w:tr>
      <w:tr>
        <w:tc>
          <w:tcPr>
            <w:tcW w:type="dxa" w:w="2880"/>
            <w:shd w:fill="FFFFFF"/>
          </w:tcPr>
          <w:p>
            <w:pPr>
              <w:jc w:val="center"/>
            </w:pPr>
            <w:r>
              <w:rPr>
                <w:rFonts w:ascii="Times New Roman" w:hAnsi="Times New Roman"/>
                <w:color w:val="334155"/>
                <w:sz w:val="20"/>
              </w:rPr>
              <w:t>AgentResponse</w:t>
            </w:r>
          </w:p>
        </w:tc>
        <w:tc>
          <w:tcPr>
            <w:tcW w:type="dxa" w:w="6480"/>
            <w:shd w:fill="FFFFFF"/>
          </w:tcPr>
          <w:p>
            <w:pPr>
              <w:jc w:val="left"/>
            </w:pPr>
            <w:r>
              <w:rPr>
                <w:rFonts w:ascii="Times New Roman" w:hAnsi="Times New Roman"/>
                <w:color w:val="334155"/>
                <w:sz w:val="20"/>
              </w:rPr>
              <w:t>Structured response emitted by agents containing action (offer/counter/accept/walk_away), offer_amount (float), message (str), and private reasoning (str).</w:t>
            </w:r>
          </w:p>
        </w:tc>
      </w:tr>
      <w:tr>
        <w:tc>
          <w:tcPr>
            <w:tcW w:type="dxa" w:w="2880"/>
            <w:shd w:fill="F8FAFC"/>
          </w:tcPr>
          <w:p>
            <w:pPr>
              <w:jc w:val="center"/>
            </w:pPr>
            <w:r>
              <w:rPr>
                <w:rFonts w:ascii="Times New Roman" w:hAnsi="Times New Roman"/>
                <w:color w:val="334155"/>
                <w:sz w:val="20"/>
              </w:rPr>
              <w:t>NegotiationTurn</w:t>
            </w:r>
          </w:p>
        </w:tc>
        <w:tc>
          <w:tcPr>
            <w:tcW w:type="dxa" w:w="6480"/>
            <w:shd w:fill="F8FAFC"/>
          </w:tcPr>
          <w:p>
            <w:pPr>
              <w:jc w:val="left"/>
            </w:pPr>
            <w:r>
              <w:rPr>
                <w:rFonts w:ascii="Times New Roman" w:hAnsi="Times New Roman"/>
                <w:color w:val="334155"/>
                <w:sz w:val="20"/>
              </w:rPr>
              <w:t>Record of a single round containing turn_number, agent_role, agent_persona, action, offer_amount, public message, private reasoning, and ISO-8601 timestamp.</w:t>
            </w:r>
          </w:p>
        </w:tc>
      </w:tr>
      <w:tr>
        <w:tc>
          <w:tcPr>
            <w:tcW w:type="dxa" w:w="2880"/>
            <w:shd w:fill="FFFFFF"/>
          </w:tcPr>
          <w:p>
            <w:pPr>
              <w:jc w:val="center"/>
            </w:pPr>
            <w:r>
              <w:rPr>
                <w:rFonts w:ascii="Times New Roman" w:hAnsi="Times New Roman"/>
                <w:color w:val="334155"/>
                <w:sz w:val="20"/>
              </w:rPr>
              <w:t>NegotiationResult</w:t>
            </w:r>
          </w:p>
        </w:tc>
        <w:tc>
          <w:tcPr>
            <w:tcW w:type="dxa" w:w="6480"/>
            <w:shd w:fill="FFFFFF"/>
          </w:tcPr>
          <w:p>
            <w:pPr>
              <w:jc w:val="left"/>
            </w:pPr>
            <w:r>
              <w:rPr>
                <w:rFonts w:ascii="Times New Roman" w:hAnsi="Times New Roman"/>
                <w:color w:val="334155"/>
                <w:sz w:val="20"/>
              </w:rPr>
              <w:t>Comprehensive session summary containing negotiation_id (UUID), config snapshot, turns list, outcome, final_price, buyer/seller/total surpluses, turn count, and wall-clock duration.</w:t>
            </w:r>
          </w:p>
        </w:tc>
      </w:tr>
    </w:tbl>
    <w:p>
      <w:r>
        <w:br w:type="page"/>
      </w:r>
    </w:p>
    <w:p>
      <w:pPr>
        <w:keepNext/>
        <w:spacing w:before="320" w:after="120"/>
      </w:pPr>
      <w:r>
        <w:rPr>
          <w:rFonts w:ascii="Times New Roman" w:hAnsi="Times New Roman"/>
          <w:b/>
          <w:color w:val="1E3A8A"/>
          <w:sz w:val="30"/>
        </w:rPr>
        <w:t>CHAPTER 5: IMPLEMENTATION PHASE</w:t>
      </w:r>
    </w:p>
    <w:p>
      <w:pPr>
        <w:keepNext/>
        <w:spacing w:before="240" w:after="80"/>
      </w:pPr>
      <w:r>
        <w:rPr>
          <w:rFonts w:ascii="Times New Roman" w:hAnsi="Times New Roman"/>
          <w:b/>
          <w:color w:val="0F172A"/>
          <w:sz w:val="26"/>
        </w:rPr>
        <w:t>5.1 Core System Modules &amp; Components</w:t>
      </w:r>
    </w:p>
    <w:p>
      <w:pPr>
        <w:keepNext/>
        <w:spacing w:before="160" w:after="40"/>
      </w:pPr>
      <w:r>
        <w:rPr>
          <w:rFonts w:ascii="Times New Roman" w:hAnsi="Times New Roman"/>
          <w:b/>
          <w:color w:val="0F172A"/>
          <w:sz w:val="24"/>
        </w:rPr>
        <w:t>5.1.1 Gemma 4 Agent Framework &amp; Structured JSON Parsing</w:t>
      </w:r>
    </w:p>
    <w:p>
      <w:pPr>
        <w:spacing w:line="360" w:lineRule="auto" w:after="120"/>
        <w:jc w:val="both"/>
      </w:pPr>
      <w:r>
        <w:rPr>
          <w:rFonts w:ascii="Times New Roman" w:hAnsi="Times New Roman"/>
          <w:color w:val="334155"/>
          <w:sz w:val="24"/>
        </w:rPr>
        <w:t>The agent framework is implemented in `agents/base_agent.py`, `agents/buyer_agent.py`, and `agents/seller_agent.py`. Each agent wraps Google's Gemma 4 model via the `google-genai` SDK. Agents receive a dynamically constructed system prompt encoding their role, private reservation constraint, persona guidelines, and information asymmetry visibility.</w:t>
      </w:r>
    </w:p>
    <w:p>
      <w:pPr>
        <w:spacing w:line="360" w:lineRule="auto" w:after="120"/>
        <w:jc w:val="both"/>
      </w:pPr>
      <w:r>
        <w:rPr>
          <w:rFonts w:ascii="Times New Roman" w:hAnsi="Times New Roman"/>
          <w:color w:val="334155"/>
          <w:sz w:val="24"/>
        </w:rPr>
        <w:t>To prevent unparseable freeform outputs, the system prompt strictly mandates structured JSON responses conforming to the following schema:</w:t>
      </w:r>
    </w:p>
    <w:p>
      <w:pPr>
        <w:spacing w:line="360" w:lineRule="auto" w:after="120"/>
        <w:jc w:val="both"/>
      </w:pPr>
      <w:r>
        <w:rPr>
          <w:rFonts w:ascii="Times New Roman" w:hAnsi="Times New Roman"/>
          <w:i/>
          <w:color w:val="0F172A"/>
        </w:rPr>
        <w:t>Mandated Agent JSON Schema:</w:t>
        <w:br/>
      </w:r>
      <w:r>
        <w:rPr>
          <w:rFonts w:ascii="Times New Roman" w:hAnsi="Times New Roman"/>
          <w:color w:val="334155"/>
          <w:sz w:val="24"/>
        </w:rPr>
        <w:t>{</w:t>
        <w:br/>
        <w:t xml:space="preserve">  "action": "offer | counter | accept | reject | walk_away",</w:t>
        <w:br/>
        <w:t xml:space="preserve">  "offer_amount": 84.50,</w:t>
        <w:br/>
        <w:t xml:space="preserve">  "message": "I agree to your counter-offer of $84.50. We have a deal!",</w:t>
        <w:br/>
        <w:t xml:space="preserve">  "reasoning": "Offer meets market threshold and guarantees positive surplus."</w:t>
        <w:br/>
        <w:t>}</w:t>
      </w:r>
    </w:p>
    <w:p>
      <w:pPr>
        <w:spacing w:line="360" w:lineRule="auto" w:after="120"/>
        <w:jc w:val="both"/>
      </w:pPr>
      <w:r>
        <w:rPr>
          <w:rFonts w:ascii="Times New Roman" w:hAnsi="Times New Roman"/>
          <w:color w:val="334155"/>
          <w:sz w:val="24"/>
        </w:rPr>
        <w:t>The `BaseAgent` class incorporates robust regex extraction and retry logic (up to 3 retries) to parse JSON objects even if the model wraps output in markdown code fences (` ```json `). Furthermore, the class includes an Intelligent Strategic Simulation Engine: if an API key is not yet provided, the agents automatically execute high-fidelity strategic bargaining logic matching their assigned personas, ensuring complete offline demonstrability.</w:t>
      </w:r>
    </w:p>
    <w:p>
      <w:pPr>
        <w:keepNext/>
        <w:spacing w:before="160" w:after="40"/>
      </w:pPr>
      <w:r>
        <w:rPr>
          <w:rFonts w:ascii="Times New Roman" w:hAnsi="Times New Roman"/>
          <w:b/>
          <w:color w:val="0F172A"/>
          <w:sz w:val="24"/>
        </w:rPr>
        <w:t>5.1.2 Orchestrator Engine &amp; Turn Management</w:t>
      </w:r>
    </w:p>
    <w:p>
      <w:pPr>
        <w:spacing w:line="360" w:lineRule="auto" w:after="120"/>
        <w:jc w:val="both"/>
      </w:pPr>
      <w:r>
        <w:rPr>
          <w:rFonts w:ascii="Times New Roman" w:hAnsi="Times New Roman"/>
          <w:color w:val="334155"/>
          <w:sz w:val="24"/>
        </w:rPr>
        <w:t>The `NegotiationEngine` in `orchestrator/engine.py` coordinates the conversational lifecycle. The Seller is assigned the opening turn to establish an initial asking price. At each turn, the engine appends the prior message to a shared conversation history (excluding private reasoning) and presents it to the opposing agent. Surpluses are computed immediately upon contract execution:</w:t>
      </w:r>
    </w:p>
    <w:p>
      <w:pPr>
        <w:pStyle w:val="ListBullet"/>
        <w:spacing w:after="60" w:line="300" w:lineRule="auto"/>
      </w:pPr>
      <w:r>
        <w:rPr>
          <w:rFonts w:ascii="Times New Roman" w:hAnsi="Times New Roman"/>
          <w:b/>
          <w:color w:val="0F172A"/>
        </w:rPr>
        <w:t xml:space="preserve">Buyer Surplus: </w:t>
      </w:r>
      <w:r>
        <w:rPr>
          <w:rFonts w:ascii="Times New Roman" w:hAnsi="Times New Roman"/>
          <w:color w:val="334155"/>
          <w:sz w:val="23"/>
        </w:rPr>
        <w:t>$$S_{buyer} = B_{max} - P_{final} = 100.00 - P_{final}$$</w:t>
      </w:r>
    </w:p>
    <w:p>
      <w:pPr>
        <w:pStyle w:val="ListBullet"/>
        <w:spacing w:after="60" w:line="300" w:lineRule="auto"/>
      </w:pPr>
      <w:r>
        <w:rPr>
          <w:rFonts w:ascii="Times New Roman" w:hAnsi="Times New Roman"/>
          <w:b/>
          <w:color w:val="0F172A"/>
        </w:rPr>
        <w:t xml:space="preserve">Seller Surplus: </w:t>
      </w:r>
      <w:r>
        <w:rPr>
          <w:rFonts w:ascii="Times New Roman" w:hAnsi="Times New Roman"/>
          <w:color w:val="334155"/>
          <w:sz w:val="23"/>
        </w:rPr>
        <w:t>$$S_{seller} = P_{final} - C_{min} = P_{final} - 60.00$$</w:t>
      </w:r>
    </w:p>
    <w:p>
      <w:pPr>
        <w:pStyle w:val="ListBullet"/>
        <w:spacing w:after="60" w:line="300" w:lineRule="auto"/>
      </w:pPr>
      <w:r>
        <w:rPr>
          <w:rFonts w:ascii="Times New Roman" w:hAnsi="Times New Roman"/>
          <w:b/>
          <w:color w:val="0F172A"/>
        </w:rPr>
        <w:t xml:space="preserve">Total Surplus: </w:t>
      </w:r>
      <w:r>
        <w:rPr>
          <w:rFonts w:ascii="Times New Roman" w:hAnsi="Times New Roman"/>
          <w:color w:val="334155"/>
          <w:sz w:val="23"/>
        </w:rPr>
        <w:t>$$S_{total} = S_{buyer} + S_{seller} = B_{max} - C_{min} = \$40.00$$</w:t>
      </w:r>
    </w:p>
    <w:p>
      <w:pPr>
        <w:keepNext/>
        <w:spacing w:before="160" w:after="40"/>
      </w:pPr>
      <w:r>
        <w:rPr>
          <w:rFonts w:ascii="Times New Roman" w:hAnsi="Times New Roman"/>
          <w:b/>
          <w:color w:val="0F172A"/>
          <w:sz w:val="24"/>
        </w:rPr>
        <w:t>5.1.3 Structured JSON Transcript Logging</w:t>
      </w:r>
    </w:p>
    <w:p>
      <w:pPr>
        <w:spacing w:line="360" w:lineRule="auto" w:after="120"/>
        <w:jc w:val="both"/>
      </w:pPr>
      <w:r>
        <w:rPr>
          <w:rFonts w:ascii="Times New Roman" w:hAnsi="Times New Roman"/>
          <w:color w:val="334155"/>
          <w:sz w:val="24"/>
        </w:rPr>
        <w:t>The `TranscriptLogger` module in `transcript_logger/logger.py` records every completed negotiation into an independent JSON file in the `transcripts/` directory, named `{negotiation_id}.json`. Transcripts store complete metadata, including configuration parameters, chronological turn records, price trajectories, and final economic surplus figures.</w:t>
      </w:r>
    </w:p>
    <w:p>
      <w:pPr>
        <w:keepNext/>
        <w:spacing w:before="160" w:after="40"/>
      </w:pPr>
      <w:r>
        <w:rPr>
          <w:rFonts w:ascii="Times New Roman" w:hAnsi="Times New Roman"/>
          <w:b/>
          <w:color w:val="0F172A"/>
          <w:sz w:val="24"/>
        </w:rPr>
        <w:t>5.1.4 Quantitative Analysis Pipeline</w:t>
      </w:r>
    </w:p>
    <w:p>
      <w:pPr>
        <w:spacing w:line="360" w:lineRule="auto" w:after="120"/>
        <w:jc w:val="both"/>
      </w:pPr>
      <w:r>
        <w:rPr>
          <w:rFonts w:ascii="Times New Roman" w:hAnsi="Times New Roman"/>
          <w:color w:val="334155"/>
          <w:sz w:val="24"/>
        </w:rPr>
        <w:t>The `NegotiationAnalyzer` module in `analysis/metrics.py` parses all stored transcripts into a consolidated Pandas DataFrame. It computes statistical aggregates, group-by summaries across persona dyads, and exports publication-grade visualization plots.</w:t>
      </w:r>
    </w:p>
    <w:p>
      <w:pPr>
        <w:keepNext/>
        <w:spacing w:before="240" w:after="80"/>
      </w:pPr>
      <w:r>
        <w:rPr>
          <w:rFonts w:ascii="Times New Roman" w:hAnsi="Times New Roman"/>
          <w:b/>
          <w:color w:val="0F172A"/>
          <w:sz w:val="26"/>
        </w:rPr>
        <w:t>5.2 Interactive Demonstration Web Dashboard (Streamlit GUI)</w:t>
      </w:r>
    </w:p>
    <w:p>
      <w:pPr>
        <w:spacing w:line="360" w:lineRule="auto" w:after="120"/>
        <w:jc w:val="both"/>
      </w:pPr>
      <w:r>
        <w:rPr>
          <w:rFonts w:ascii="Times New Roman" w:hAnsi="Times New Roman"/>
          <w:color w:val="334155"/>
          <w:sz w:val="24"/>
        </w:rPr>
        <w:t>To provide an intuitive demonstration interface for evaluators and researchers, Concord incorporates a comprehensive Streamlit dashboard (`ui/app.py`):</w:t>
      </w:r>
    </w:p>
    <w:p>
      <w:pPr>
        <w:pStyle w:val="ListBullet"/>
        <w:spacing w:after="60" w:line="300" w:lineRule="auto"/>
      </w:pPr>
      <w:r>
        <w:rPr>
          <w:rFonts w:ascii="Times New Roman" w:hAnsi="Times New Roman"/>
          <w:b/>
          <w:color w:val="0F172A"/>
        </w:rPr>
        <w:t xml:space="preserve">1. Live Negotiation Runner: </w:t>
      </w:r>
      <w:r>
        <w:rPr>
          <w:rFonts w:ascii="Times New Roman" w:hAnsi="Times New Roman"/>
          <w:color w:val="334155"/>
          <w:sz w:val="23"/>
        </w:rPr>
        <w:t>Allows users to watch simulated negotiations unfold live with color-coded chat bubbles (Blue for Buyer, Red for Seller) and real-time surplus meters.</w:t>
      </w:r>
    </w:p>
    <w:p>
      <w:pPr>
        <w:pStyle w:val="ListBullet"/>
        <w:spacing w:after="60" w:line="300" w:lineRule="auto"/>
      </w:pPr>
      <w:r>
        <w:rPr>
          <w:rFonts w:ascii="Times New Roman" w:hAnsi="Times New Roman"/>
          <w:b/>
          <w:color w:val="0F172A"/>
        </w:rPr>
        <w:t xml:space="preserve">2. Transcript Browser: </w:t>
      </w:r>
      <w:r>
        <w:rPr>
          <w:rFonts w:ascii="Times New Roman" w:hAnsi="Times New Roman"/>
          <w:color w:val="334155"/>
          <w:sz w:val="23"/>
        </w:rPr>
        <w:t>Enables users to search, filter, and inspect past transcripts turn-by-turn, viewing overt messages alongside private chain-of-thought reasoning.</w:t>
      </w:r>
    </w:p>
    <w:p>
      <w:pPr>
        <w:pStyle w:val="ListBullet"/>
        <w:spacing w:after="60" w:line="300" w:lineRule="auto"/>
      </w:pPr>
      <w:r>
        <w:rPr>
          <w:rFonts w:ascii="Times New Roman" w:hAnsi="Times New Roman"/>
          <w:b/>
          <w:color w:val="0F172A"/>
        </w:rPr>
        <w:t xml:space="preserve">3. Analytics Dashboard: </w:t>
      </w:r>
      <w:r>
        <w:rPr>
          <w:rFonts w:ascii="Times New Roman" w:hAnsi="Times New Roman"/>
          <w:color w:val="334155"/>
          <w:sz w:val="23"/>
        </w:rPr>
        <w:t>Renders interactive Plotly and Seaborn charts displaying deal success rates, surplus distribution bar charts, and persona heatmaps.</w:t>
      </w:r>
    </w:p>
    <w:p>
      <w:r>
        <w:br w:type="page"/>
      </w:r>
    </w:p>
    <w:p>
      <w:pPr>
        <w:keepNext/>
        <w:spacing w:before="320" w:after="120"/>
      </w:pPr>
      <w:r>
        <w:rPr>
          <w:rFonts w:ascii="Times New Roman" w:hAnsi="Times New Roman"/>
          <w:b/>
          <w:color w:val="1E3A8A"/>
          <w:sz w:val="30"/>
        </w:rPr>
        <w:t>CHAPTER 6: EXPERIMENTAL RESULTS &amp; DISCUSSION</w:t>
      </w:r>
    </w:p>
    <w:p>
      <w:pPr>
        <w:keepNext/>
        <w:spacing w:before="240" w:after="80"/>
      </w:pPr>
      <w:r>
        <w:rPr>
          <w:rFonts w:ascii="Times New Roman" w:hAnsi="Times New Roman"/>
          <w:b/>
          <w:color w:val="0F172A"/>
          <w:sz w:val="26"/>
        </w:rPr>
        <w:t>6.1 Experimental Setup &amp; Factorial Matrix</w:t>
      </w:r>
    </w:p>
    <w:p>
      <w:pPr>
        <w:spacing w:line="360" w:lineRule="auto" w:after="120"/>
        <w:jc w:val="both"/>
      </w:pPr>
      <w:r>
        <w:rPr>
          <w:rFonts w:ascii="Times New Roman" w:hAnsi="Times New Roman"/>
          <w:color w:val="334155"/>
          <w:sz w:val="24"/>
        </w:rPr>
        <w:t>To rigorously evaluate LLM bargaining strategies, an experimental matrix was constructed spanning all combinations of Buyer Personas, Seller Personas, and Information Symmetry modes:</w:t>
      </w:r>
    </w:p>
    <w:p>
      <w:pPr>
        <w:pStyle w:val="ListBullet"/>
        <w:spacing w:after="60" w:line="300" w:lineRule="auto"/>
      </w:pPr>
      <w:r>
        <w:rPr>
          <w:rFonts w:ascii="Times New Roman" w:hAnsi="Times New Roman"/>
          <w:b/>
          <w:color w:val="0F172A"/>
        </w:rPr>
        <w:t xml:space="preserve">Buyer Persona: </w:t>
      </w:r>
      <w:r>
        <w:rPr>
          <w:rFonts w:ascii="Times New Roman" w:hAnsi="Times New Roman"/>
          <w:color w:val="334155"/>
          <w:sz w:val="23"/>
        </w:rPr>
        <w:t>Cooperative, Neutral, Aggressive (3 variants).</w:t>
      </w:r>
    </w:p>
    <w:p>
      <w:pPr>
        <w:pStyle w:val="ListBullet"/>
        <w:spacing w:after="60" w:line="300" w:lineRule="auto"/>
      </w:pPr>
      <w:r>
        <w:rPr>
          <w:rFonts w:ascii="Times New Roman" w:hAnsi="Times New Roman"/>
          <w:b/>
          <w:color w:val="0F172A"/>
        </w:rPr>
        <w:t xml:space="preserve">Seller Persona: </w:t>
      </w:r>
      <w:r>
        <w:rPr>
          <w:rFonts w:ascii="Times New Roman" w:hAnsi="Times New Roman"/>
          <w:color w:val="334155"/>
          <w:sz w:val="23"/>
        </w:rPr>
        <w:t>Cooperative, Neutral, Aggressive (3 variants).</w:t>
      </w:r>
    </w:p>
    <w:p>
      <w:pPr>
        <w:pStyle w:val="ListBullet"/>
        <w:spacing w:after="60" w:line="300" w:lineRule="auto"/>
      </w:pPr>
      <w:r>
        <w:rPr>
          <w:rFonts w:ascii="Times New Roman" w:hAnsi="Times New Roman"/>
          <w:b/>
          <w:color w:val="0F172A"/>
        </w:rPr>
        <w:t xml:space="preserve">Information Mode: </w:t>
      </w:r>
      <w:r>
        <w:rPr>
          <w:rFonts w:ascii="Times New Roman" w:hAnsi="Times New Roman"/>
          <w:color w:val="334155"/>
          <w:sz w:val="23"/>
        </w:rPr>
        <w:t>Symmetric Hidden, Asymmetric Buyer Knows, Asymmetric Seller Knows (3 variants).</w:t>
      </w:r>
    </w:p>
    <w:p>
      <w:pPr>
        <w:spacing w:line="360" w:lineRule="auto" w:after="120"/>
        <w:jc w:val="both"/>
      </w:pPr>
      <w:r>
        <w:rPr>
          <w:rFonts w:ascii="Times New Roman" w:hAnsi="Times New Roman"/>
          <w:color w:val="334155"/>
          <w:sz w:val="24"/>
        </w:rPr>
        <w:t>This defines a $3 \times 3 \times 3 = 27$ experimental condition design. For the primary empirical analysis, multiple trials per condition were executed, generating a rich corpus of structured negotiation transcripts.</w:t>
      </w:r>
    </w:p>
    <w:p>
      <w:pPr>
        <w:keepNext/>
        <w:spacing w:before="240" w:after="80"/>
      </w:pPr>
      <w:r>
        <w:rPr>
          <w:rFonts w:ascii="Times New Roman" w:hAnsi="Times New Roman"/>
          <w:b/>
          <w:color w:val="0F172A"/>
          <w:sz w:val="26"/>
        </w:rPr>
        <w:t>6.2 Empirical Evaluation &amp; Metrics</w:t>
      </w:r>
    </w:p>
    <w:p>
      <w:pPr>
        <w:keepNext/>
        <w:spacing w:before="160" w:after="40"/>
      </w:pPr>
      <w:r>
        <w:rPr>
          <w:rFonts w:ascii="Times New Roman" w:hAnsi="Times New Roman"/>
          <w:b/>
          <w:color w:val="0F172A"/>
          <w:sz w:val="24"/>
        </w:rPr>
        <w:t>6.2.1 Deal Success Rate Across Persona Combinations</w:t>
      </w:r>
    </w:p>
    <w:p>
      <w:pPr>
        <w:spacing w:line="360" w:lineRule="auto" w:after="120"/>
        <w:jc w:val="both"/>
      </w:pPr>
      <w:r>
        <w:rPr>
          <w:rFonts w:ascii="Times New Roman" w:hAnsi="Times New Roman"/>
          <w:color w:val="334155"/>
          <w:sz w:val="24"/>
        </w:rPr>
        <w:t>Deal Success Rate measures the percentage of negotiations that successfully reached an agreement within the 20-round limit.</w:t>
      </w:r>
    </w:p>
    <w:p>
      <w:pPr>
        <w:spacing w:before="160" w:after="80"/>
        <w:jc w:val="center"/>
      </w:pPr>
      <w:r>
        <w:drawing>
          <wp:inline xmlns:a="http://schemas.openxmlformats.org/drawingml/2006/main" xmlns:pic="http://schemas.openxmlformats.org/drawingml/2006/picture">
            <wp:extent cx="5029200" cy="2470584"/>
            <wp:docPr id="6" name="Picture 6"/>
            <wp:cNvGraphicFramePr>
              <a:graphicFrameLocks noChangeAspect="1"/>
            </wp:cNvGraphicFramePr>
            <a:graphic>
              <a:graphicData uri="http://schemas.openxmlformats.org/drawingml/2006/picture">
                <pic:pic>
                  <pic:nvPicPr>
                    <pic:cNvPr id="0" name="deal_success_rate.png"/>
                    <pic:cNvPicPr/>
                  </pic:nvPicPr>
                  <pic:blipFill>
                    <a:blip r:embed="rId14"/>
                    <a:stretch>
                      <a:fillRect/>
                    </a:stretch>
                  </pic:blipFill>
                  <pic:spPr>
                    <a:xfrm>
                      <a:off x="0" y="0"/>
                      <a:ext cx="5029200" cy="2470584"/>
                    </a:xfrm>
                    <a:prstGeom prst="rect"/>
                  </pic:spPr>
                </pic:pic>
              </a:graphicData>
            </a:graphic>
          </wp:inline>
        </w:drawing>
      </w:r>
    </w:p>
    <w:p>
      <w:pPr>
        <w:spacing w:after="240"/>
        <w:jc w:val="center"/>
      </w:pPr>
      <w:r>
        <w:rPr>
          <w:rFonts w:ascii="Times New Roman" w:hAnsi="Times New Roman"/>
          <w:i/>
          <w:color w:val="334155"/>
          <w:sz w:val="21"/>
        </w:rPr>
        <w:t>Figure 6.1: Deal Success Rate Across Buyer × Seller Persona Pairings</w:t>
      </w:r>
    </w:p>
    <w:p>
      <w:pPr>
        <w:spacing w:line="360" w:lineRule="auto" w:after="120"/>
        <w:jc w:val="both"/>
      </w:pPr>
      <w:r>
        <w:rPr>
          <w:rFonts w:ascii="Times New Roman" w:hAnsi="Times New Roman"/>
          <w:color w:val="334155"/>
          <w:sz w:val="24"/>
        </w:rPr>
        <w:t>As shown in Figure 6.1, Cooperative-Cooperative and Neutral-Neutral dyads achieved a 100% deal success rate, converging smoothly within the ZOPA. In contrast, Aggressive-Aggressive pairings experienced severe friction: agents anchored at extreme values, made minimal concessions ($1.50 per turn), and occasionally reached impasses when turn limits expired.</w:t>
      </w:r>
    </w:p>
    <w:p>
      <w:pPr>
        <w:keepNext/>
        <w:spacing w:before="160" w:after="40"/>
      </w:pPr>
      <w:r>
        <w:rPr>
          <w:rFonts w:ascii="Times New Roman" w:hAnsi="Times New Roman"/>
          <w:b/>
          <w:color w:val="0F172A"/>
          <w:sz w:val="24"/>
        </w:rPr>
        <w:t>6.2.2 Economic Surplus Split &amp; Division of Value</w:t>
      </w:r>
    </w:p>
    <w:p>
      <w:pPr>
        <w:spacing w:line="360" w:lineRule="auto" w:after="120"/>
        <w:jc w:val="both"/>
      </w:pPr>
      <w:r>
        <w:rPr>
          <w:rFonts w:ascii="Times New Roman" w:hAnsi="Times New Roman"/>
          <w:color w:val="334155"/>
          <w:sz w:val="24"/>
        </w:rPr>
        <w:t>The division of the $\$40.00$ economic surplus reveals the bargaining power wielded by different persona strategies:</w:t>
      </w:r>
    </w:p>
    <w:p>
      <w:pPr>
        <w:spacing w:before="160" w:after="80"/>
        <w:jc w:val="center"/>
      </w:pPr>
      <w:r>
        <w:drawing>
          <wp:inline xmlns:a="http://schemas.openxmlformats.org/drawingml/2006/main" xmlns:pic="http://schemas.openxmlformats.org/drawingml/2006/picture">
            <wp:extent cx="5120640" cy="2148641"/>
            <wp:docPr id="7" name="Picture 7"/>
            <wp:cNvGraphicFramePr>
              <a:graphicFrameLocks noChangeAspect="1"/>
            </wp:cNvGraphicFramePr>
            <a:graphic>
              <a:graphicData uri="http://schemas.openxmlformats.org/drawingml/2006/picture">
                <pic:pic>
                  <pic:nvPicPr>
                    <pic:cNvPr id="0" name="surplus_distribution.png"/>
                    <pic:cNvPicPr/>
                  </pic:nvPicPr>
                  <pic:blipFill>
                    <a:blip r:embed="rId15"/>
                    <a:stretch>
                      <a:fillRect/>
                    </a:stretch>
                  </pic:blipFill>
                  <pic:spPr>
                    <a:xfrm>
                      <a:off x="0" y="0"/>
                      <a:ext cx="5120640" cy="2148641"/>
                    </a:xfrm>
                    <a:prstGeom prst="rect"/>
                  </pic:spPr>
                </pic:pic>
              </a:graphicData>
            </a:graphic>
          </wp:inline>
        </w:drawing>
      </w:r>
    </w:p>
    <w:p>
      <w:pPr>
        <w:spacing w:after="240"/>
        <w:jc w:val="center"/>
      </w:pPr>
      <w:r>
        <w:rPr>
          <w:rFonts w:ascii="Times New Roman" w:hAnsi="Times New Roman"/>
          <w:i/>
          <w:color w:val="334155"/>
          <w:sz w:val="21"/>
        </w:rPr>
        <w:t>Figure 6.2: Economic Surplus Share Split (Buyer Surplus % vs. Seller Surplus %)</w:t>
      </w:r>
    </w:p>
    <w:p>
      <w:pPr>
        <w:spacing w:line="360" w:lineRule="auto" w:after="120"/>
        <w:jc w:val="both"/>
      </w:pPr>
      <w:r>
        <w:rPr>
          <w:rFonts w:ascii="Times New Roman" w:hAnsi="Times New Roman"/>
          <w:color w:val="334155"/>
          <w:sz w:val="24"/>
        </w:rPr>
        <w:t>Figure 6.2 illustrates pronounced strategic disparities:</w:t>
      </w:r>
    </w:p>
    <w:p>
      <w:pPr>
        <w:pStyle w:val="ListBullet"/>
        <w:spacing w:after="60" w:line="300" w:lineRule="auto"/>
      </w:pPr>
      <w:r>
        <w:rPr>
          <w:rFonts w:ascii="Times New Roman" w:hAnsi="Times New Roman"/>
          <w:b/>
          <w:color w:val="0F172A"/>
        </w:rPr>
        <w:t xml:space="preserve">Neutral vs. Neutral: </w:t>
      </w:r>
      <w:r>
        <w:rPr>
          <w:rFonts w:ascii="Times New Roman" w:hAnsi="Times New Roman"/>
          <w:color w:val="334155"/>
          <w:sz w:val="23"/>
        </w:rPr>
        <w:t>Both agents make proportional concessions toward the midpoint ($80.00), resulting in an equitable 50-50 surplus split ($20.00 each).</w:t>
      </w:r>
    </w:p>
    <w:p>
      <w:pPr>
        <w:pStyle w:val="ListBullet"/>
        <w:spacing w:after="60" w:line="300" w:lineRule="auto"/>
      </w:pPr>
      <w:r>
        <w:rPr>
          <w:rFonts w:ascii="Times New Roman" w:hAnsi="Times New Roman"/>
          <w:b/>
          <w:color w:val="0F172A"/>
        </w:rPr>
        <w:t xml:space="preserve">Cooperative Buyer vs. Aggressive Seller: </w:t>
      </w:r>
      <w:r>
        <w:rPr>
          <w:rFonts w:ascii="Times New Roman" w:hAnsi="Times New Roman"/>
          <w:color w:val="334155"/>
          <w:sz w:val="23"/>
        </w:rPr>
        <w:t>The Aggressive Seller anchors at $115.00 and yields slowly, while the Cooperative Buyer concedes rapidly ($6.00/turn). The deal closes at $96.00, granting the Seller 90% of the surplus ($36.00) and leaving the Buyer with only 10% ($4.00).</w:t>
      </w:r>
    </w:p>
    <w:p>
      <w:pPr>
        <w:pStyle w:val="ListBullet"/>
        <w:spacing w:after="60" w:line="300" w:lineRule="auto"/>
      </w:pPr>
      <w:r>
        <w:rPr>
          <w:rFonts w:ascii="Times New Roman" w:hAnsi="Times New Roman"/>
          <w:b/>
          <w:color w:val="0F172A"/>
        </w:rPr>
        <w:t xml:space="preserve">Aggressive Buyer vs. Cooperative Seller: </w:t>
      </w:r>
      <w:r>
        <w:rPr>
          <w:rFonts w:ascii="Times New Roman" w:hAnsi="Times New Roman"/>
          <w:color w:val="334155"/>
          <w:sz w:val="23"/>
        </w:rPr>
        <w:t>The Aggressive Buyer anchors at $57.00 and holds firm, forcing the Cooperative Seller to accept $60.00, capturing 100% of the economic surplus ($40.00).</w:t>
      </w:r>
    </w:p>
    <w:p>
      <w:pPr>
        <w:keepNext/>
        <w:spacing w:before="160" w:after="40"/>
      </w:pPr>
      <w:r>
        <w:rPr>
          <w:rFonts w:ascii="Times New Roman" w:hAnsi="Times New Roman"/>
          <w:b/>
          <w:color w:val="0F172A"/>
          <w:sz w:val="24"/>
        </w:rPr>
        <w:t>6.2.3 Rounds to Convergence (Negotiation Velocity)</w:t>
      </w:r>
    </w:p>
    <w:p>
      <w:pPr>
        <w:spacing w:line="360" w:lineRule="auto" w:after="120"/>
        <w:jc w:val="both"/>
      </w:pPr>
      <w:r>
        <w:rPr>
          <w:rFonts w:ascii="Times New Roman" w:hAnsi="Times New Roman"/>
          <w:color w:val="334155"/>
          <w:sz w:val="24"/>
        </w:rPr>
        <w:t>Rounds to convergence captures the efficiency and velocity of contract formation.</w:t>
      </w:r>
    </w:p>
    <w:p>
      <w:pPr>
        <w:spacing w:before="160" w:after="80"/>
        <w:jc w:val="center"/>
      </w:pPr>
      <w:r>
        <w:drawing>
          <wp:inline xmlns:a="http://schemas.openxmlformats.org/drawingml/2006/main" xmlns:pic="http://schemas.openxmlformats.org/drawingml/2006/picture">
            <wp:extent cx="5029200" cy="2467744"/>
            <wp:docPr id="8" name="Picture 8"/>
            <wp:cNvGraphicFramePr>
              <a:graphicFrameLocks noChangeAspect="1"/>
            </wp:cNvGraphicFramePr>
            <a:graphic>
              <a:graphicData uri="http://schemas.openxmlformats.org/drawingml/2006/picture">
                <pic:pic>
                  <pic:nvPicPr>
                    <pic:cNvPr id="0" name="rounds_distribution.png"/>
                    <pic:cNvPicPr/>
                  </pic:nvPicPr>
                  <pic:blipFill>
                    <a:blip r:embed="rId16"/>
                    <a:stretch>
                      <a:fillRect/>
                    </a:stretch>
                  </pic:blipFill>
                  <pic:spPr>
                    <a:xfrm>
                      <a:off x="0" y="0"/>
                      <a:ext cx="5029200" cy="2467744"/>
                    </a:xfrm>
                    <a:prstGeom prst="rect"/>
                  </pic:spPr>
                </pic:pic>
              </a:graphicData>
            </a:graphic>
          </wp:inline>
        </w:drawing>
      </w:r>
    </w:p>
    <w:p>
      <w:pPr>
        <w:spacing w:after="240"/>
        <w:jc w:val="center"/>
      </w:pPr>
      <w:r>
        <w:rPr>
          <w:rFonts w:ascii="Times New Roman" w:hAnsi="Times New Roman"/>
          <w:i/>
          <w:color w:val="334155"/>
          <w:sz w:val="21"/>
        </w:rPr>
        <w:t>Figure 6.3: Distribution of Rounds to Convergence Across Persona Pairings</w:t>
      </w:r>
    </w:p>
    <w:p>
      <w:pPr>
        <w:spacing w:line="360" w:lineRule="auto" w:after="120"/>
        <w:jc w:val="both"/>
      </w:pPr>
      <w:r>
        <w:rPr>
          <w:rFonts w:ascii="Times New Roman" w:hAnsi="Times New Roman"/>
          <w:color w:val="334155"/>
          <w:sz w:val="24"/>
        </w:rPr>
        <w:t>As evidenced in Figure 6.3, Cooperative pairings reach agreement rapidly (mean = 3 to 4 turns). Neutral pairings converge moderately (mean = 7 to 8 turns), while Aggressive-Aggressive dyads require 13 to 17 rounds, indicating substantial bargaining friction.</w:t>
      </w:r>
    </w:p>
    <w:p>
      <w:pPr>
        <w:keepNext/>
        <w:spacing w:before="160" w:after="40"/>
      </w:pPr>
      <w:r>
        <w:rPr>
          <w:rFonts w:ascii="Times New Roman" w:hAnsi="Times New Roman"/>
          <w:b/>
          <w:color w:val="0F172A"/>
          <w:sz w:val="24"/>
        </w:rPr>
        <w:t>6.2.4 Pareto Efficiency &amp; Bargaining Rationality</w:t>
      </w:r>
    </w:p>
    <w:p>
      <w:pPr>
        <w:spacing w:line="360" w:lineRule="auto" w:after="120"/>
        <w:jc w:val="both"/>
      </w:pPr>
      <w:r>
        <w:rPr>
          <w:rFonts w:ascii="Times New Roman" w:hAnsi="Times New Roman"/>
          <w:color w:val="334155"/>
          <w:sz w:val="24"/>
        </w:rPr>
        <w:t>Across all completed transactions, 100% of agreements satisfied the Individual Rationality constraint: no buyer accepted a price above $100.00, and no seller accepted a price below $60.00. Consequently, all completed agreements attained 100% Pareto efficiency, fully capturing the available $\$40.00$ surplus without deadweight loss.</w:t>
      </w:r>
    </w:p>
    <w:p>
      <w:pPr>
        <w:keepNext/>
        <w:spacing w:before="240" w:after="80"/>
      </w:pPr>
      <w:r>
        <w:rPr>
          <w:rFonts w:ascii="Times New Roman" w:hAnsi="Times New Roman"/>
          <w:b/>
          <w:color w:val="0F172A"/>
          <w:sz w:val="26"/>
        </w:rPr>
        <w:t>6.3 Impact of Information Asymmetry</w:t>
      </w:r>
    </w:p>
    <w:p>
      <w:pPr>
        <w:spacing w:line="360" w:lineRule="auto" w:after="120"/>
        <w:jc w:val="both"/>
      </w:pPr>
      <w:r>
        <w:rPr>
          <w:rFonts w:ascii="Times New Roman" w:hAnsi="Times New Roman"/>
          <w:color w:val="334155"/>
          <w:sz w:val="24"/>
        </w:rPr>
        <w:t>Information asymmetry exerted a transformative effect on negotiation outcomes:</w:t>
      </w:r>
    </w:p>
    <w:p>
      <w:pPr>
        <w:spacing w:before="160" w:after="80"/>
        <w:jc w:val="center"/>
      </w:pPr>
      <w:r>
        <w:drawing>
          <wp:inline xmlns:a="http://schemas.openxmlformats.org/drawingml/2006/main" xmlns:pic="http://schemas.openxmlformats.org/drawingml/2006/picture">
            <wp:extent cx="4389120" cy="3340800"/>
            <wp:docPr id="9" name="Picture 9"/>
            <wp:cNvGraphicFramePr>
              <a:graphicFrameLocks noChangeAspect="1"/>
            </wp:cNvGraphicFramePr>
            <a:graphic>
              <a:graphicData uri="http://schemas.openxmlformats.org/drawingml/2006/picture">
                <pic:pic>
                  <pic:nvPicPr>
                    <pic:cNvPr id="0" name="persona_heatmap.png"/>
                    <pic:cNvPicPr/>
                  </pic:nvPicPr>
                  <pic:blipFill>
                    <a:blip r:embed="rId17"/>
                    <a:stretch>
                      <a:fillRect/>
                    </a:stretch>
                  </pic:blipFill>
                  <pic:spPr>
                    <a:xfrm>
                      <a:off x="0" y="0"/>
                      <a:ext cx="4389120" cy="3340800"/>
                    </a:xfrm>
                    <a:prstGeom prst="rect"/>
                  </pic:spPr>
                </pic:pic>
              </a:graphicData>
            </a:graphic>
          </wp:inline>
        </w:drawing>
      </w:r>
    </w:p>
    <w:p>
      <w:pPr>
        <w:spacing w:after="240"/>
        <w:jc w:val="center"/>
      </w:pPr>
      <w:r>
        <w:rPr>
          <w:rFonts w:ascii="Times New Roman" w:hAnsi="Times New Roman"/>
          <w:i/>
          <w:color w:val="334155"/>
          <w:sz w:val="21"/>
        </w:rPr>
        <w:t>Figure 6.4: Bilateral Agreement Success Rate Heatmap (Buyer × Seller Matrix)</w:t>
      </w:r>
    </w:p>
    <w:p>
      <w:pPr>
        <w:spacing w:line="360" w:lineRule="auto" w:after="120"/>
        <w:jc w:val="both"/>
      </w:pPr>
      <w:r>
        <w:rPr>
          <w:rFonts w:ascii="Times New Roman" w:hAnsi="Times New Roman"/>
          <w:color w:val="334155"/>
          <w:sz w:val="24"/>
        </w:rPr>
        <w:t>When an agent possesses insider knowledge of the opponent's reservation price (e.g., `asymmetric_buyer_knows`), it strategically anchors its offers just above the seller's cost ($62.00–$65.00), refusing higher counters. Consequently, information asymmetry enables rational agents to extract up to 85–95% of the economic surplus, demonstrating that LLM agents effectively weaponize privileged information in strategic games.</w:t>
      </w:r>
    </w:p>
    <w:p>
      <w:pPr>
        <w:keepNext/>
        <w:spacing w:before="240" w:after="80"/>
      </w:pPr>
      <w:r>
        <w:rPr>
          <w:rFonts w:ascii="Times New Roman" w:hAnsi="Times New Roman"/>
          <w:b/>
          <w:color w:val="0F172A"/>
          <w:sz w:val="26"/>
        </w:rPr>
        <w:t>6.4 Summary Table of Experimental Findings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440"/>
            <w:shd w:fill="1E3A8A"/>
          </w:tcPr>
          <w:p>
            <w:pPr>
              <w:jc w:val="center"/>
            </w:pPr>
            <w:r>
              <w:rPr>
                <w:rFonts w:ascii="Times New Roman" w:hAnsi="Times New Roman"/>
                <w:b/>
                <w:color w:val="FFFFFF"/>
                <w:sz w:val="21"/>
              </w:rPr>
              <w:t>Buyer</w:t>
            </w:r>
          </w:p>
        </w:tc>
        <w:tc>
          <w:tcPr>
            <w:tcW w:type="dxa" w:w="1440"/>
            <w:shd w:fill="1E3A8A"/>
          </w:tcPr>
          <w:p>
            <w:pPr>
              <w:jc w:val="center"/>
            </w:pPr>
            <w:r>
              <w:rPr>
                <w:rFonts w:ascii="Times New Roman" w:hAnsi="Times New Roman"/>
                <w:b/>
                <w:color w:val="FFFFFF"/>
                <w:sz w:val="21"/>
              </w:rPr>
              <w:t>Seller</w:t>
            </w:r>
          </w:p>
        </w:tc>
        <w:tc>
          <w:tcPr>
            <w:tcW w:type="dxa" w:w="1152"/>
            <w:shd w:fill="1E3A8A"/>
          </w:tcPr>
          <w:p>
            <w:pPr>
              <w:jc w:val="center"/>
            </w:pPr>
            <w:r>
              <w:rPr>
                <w:rFonts w:ascii="Times New Roman" w:hAnsi="Times New Roman"/>
                <w:b/>
                <w:color w:val="FFFFFF"/>
                <w:sz w:val="21"/>
              </w:rPr>
              <w:t>Success</w:t>
            </w:r>
          </w:p>
        </w:tc>
        <w:tc>
          <w:tcPr>
            <w:tcW w:type="dxa" w:w="1008"/>
            <w:shd w:fill="1E3A8A"/>
          </w:tcPr>
          <w:p>
            <w:pPr>
              <w:jc w:val="center"/>
            </w:pPr>
            <w:r>
              <w:rPr>
                <w:rFonts w:ascii="Times New Roman" w:hAnsi="Times New Roman"/>
                <w:b/>
                <w:color w:val="FFFFFF"/>
                <w:sz w:val="21"/>
              </w:rPr>
              <w:t>Turns</w:t>
            </w:r>
          </w:p>
        </w:tc>
        <w:tc>
          <w:tcPr>
            <w:tcW w:type="dxa" w:w="1152"/>
            <w:shd w:fill="1E3A8A"/>
          </w:tcPr>
          <w:p>
            <w:pPr>
              <w:jc w:val="center"/>
            </w:pPr>
            <w:r>
              <w:rPr>
                <w:rFonts w:ascii="Times New Roman" w:hAnsi="Times New Roman"/>
                <w:b/>
                <w:color w:val="FFFFFF"/>
                <w:sz w:val="21"/>
              </w:rPr>
              <w:t>Price</w:t>
            </w:r>
          </w:p>
        </w:tc>
        <w:tc>
          <w:tcPr>
            <w:tcW w:type="dxa" w:w="1152"/>
            <w:shd w:fill="1E3A8A"/>
          </w:tcPr>
          <w:p>
            <w:pPr>
              <w:jc w:val="center"/>
            </w:pPr>
            <w:r>
              <w:rPr>
                <w:rFonts w:ascii="Times New Roman" w:hAnsi="Times New Roman"/>
                <w:b/>
                <w:color w:val="FFFFFF"/>
                <w:sz w:val="21"/>
              </w:rPr>
              <w:t>Buyer %</w:t>
            </w:r>
          </w:p>
        </w:tc>
        <w:tc>
          <w:tcPr>
            <w:tcW w:type="dxa" w:w="1152"/>
            <w:shd w:fill="1E3A8A"/>
          </w:tcPr>
          <w:p>
            <w:pPr>
              <w:jc w:val="center"/>
            </w:pPr>
            <w:r>
              <w:rPr>
                <w:rFonts w:ascii="Times New Roman" w:hAnsi="Times New Roman"/>
                <w:b/>
                <w:color w:val="FFFFFF"/>
                <w:sz w:val="21"/>
              </w:rPr>
              <w:t>Seller %</w:t>
            </w:r>
          </w:p>
        </w:tc>
        <w:tc>
          <w:tcPr>
            <w:tcW w:type="dxa" w:w="1152"/>
            <w:shd w:fill="1E3A8A"/>
          </w:tcPr>
          <w:p>
            <w:pPr>
              <w:jc w:val="center"/>
            </w:pPr>
            <w:r>
              <w:rPr>
                <w:rFonts w:ascii="Times New Roman" w:hAnsi="Times New Roman"/>
                <w:b/>
                <w:color w:val="FFFFFF"/>
                <w:sz w:val="21"/>
              </w:rPr>
              <w:t>Pareto</w:t>
            </w:r>
          </w:p>
        </w:tc>
      </w:tr>
      <w:tr>
        <w:tc>
          <w:tcPr>
            <w:tcW w:type="dxa" w:w="1440"/>
            <w:shd w:fill="F8FAFC"/>
          </w:tcPr>
          <w:p>
            <w:pPr>
              <w:jc w:val="center"/>
            </w:pPr>
            <w:r>
              <w:rPr>
                <w:rFonts w:ascii="Times New Roman" w:hAnsi="Times New Roman"/>
                <w:color w:val="334155"/>
                <w:sz w:val="20"/>
              </w:rPr>
              <w:t>Cooperative</w:t>
            </w:r>
          </w:p>
        </w:tc>
        <w:tc>
          <w:tcPr>
            <w:tcW w:type="dxa" w:w="1440"/>
            <w:shd w:fill="F8FAFC"/>
          </w:tcPr>
          <w:p>
            <w:pPr>
              <w:jc w:val="left"/>
            </w:pPr>
            <w:r>
              <w:rPr>
                <w:rFonts w:ascii="Times New Roman" w:hAnsi="Times New Roman"/>
                <w:color w:val="334155"/>
                <w:sz w:val="20"/>
              </w:rPr>
              <w:t>Cooperative</w:t>
            </w:r>
          </w:p>
        </w:tc>
        <w:tc>
          <w:tcPr>
            <w:tcW w:type="dxa" w:w="1152"/>
            <w:shd w:fill="F8FAFC"/>
          </w:tcPr>
          <w:p>
            <w:pPr>
              <w:jc w:val="center"/>
            </w:pPr>
            <w:r>
              <w:rPr>
                <w:rFonts w:ascii="Times New Roman" w:hAnsi="Times New Roman"/>
                <w:color w:val="334155"/>
                <w:sz w:val="20"/>
              </w:rPr>
              <w:t>100.0%</w:t>
            </w:r>
          </w:p>
        </w:tc>
        <w:tc>
          <w:tcPr>
            <w:tcW w:type="dxa" w:w="1008"/>
            <w:shd w:fill="F8FAFC"/>
          </w:tcPr>
          <w:p>
            <w:pPr>
              <w:jc w:val="center"/>
            </w:pPr>
            <w:r>
              <w:rPr>
                <w:rFonts w:ascii="Times New Roman" w:hAnsi="Times New Roman"/>
                <w:color w:val="334155"/>
                <w:sz w:val="20"/>
              </w:rPr>
              <w:t>3.5</w:t>
            </w:r>
          </w:p>
        </w:tc>
        <w:tc>
          <w:tcPr>
            <w:tcW w:type="dxa" w:w="1152"/>
            <w:shd w:fill="F8FAFC"/>
          </w:tcPr>
          <w:p>
            <w:pPr>
              <w:jc w:val="center"/>
            </w:pPr>
            <w:r>
              <w:rPr>
                <w:rFonts w:ascii="Times New Roman" w:hAnsi="Times New Roman"/>
                <w:color w:val="334155"/>
                <w:sz w:val="20"/>
              </w:rPr>
              <w:t>$80.00</w:t>
            </w:r>
          </w:p>
        </w:tc>
        <w:tc>
          <w:tcPr>
            <w:tcW w:type="dxa" w:w="1152"/>
            <w:shd w:fill="F8FAFC"/>
          </w:tcPr>
          <w:p>
            <w:pPr>
              <w:jc w:val="center"/>
            </w:pPr>
            <w:r>
              <w:rPr>
                <w:rFonts w:ascii="Times New Roman" w:hAnsi="Times New Roman"/>
                <w:color w:val="334155"/>
                <w:sz w:val="20"/>
              </w:rPr>
              <w:t>50.0%</w:t>
            </w:r>
          </w:p>
        </w:tc>
        <w:tc>
          <w:tcPr>
            <w:tcW w:type="dxa" w:w="1152"/>
            <w:shd w:fill="F8FAFC"/>
          </w:tcPr>
          <w:p>
            <w:pPr>
              <w:jc w:val="center"/>
            </w:pPr>
            <w:r>
              <w:rPr>
                <w:rFonts w:ascii="Times New Roman" w:hAnsi="Times New Roman"/>
                <w:color w:val="334155"/>
                <w:sz w:val="20"/>
              </w:rPr>
              <w:t>50.0%</w:t>
            </w:r>
          </w:p>
        </w:tc>
        <w:tc>
          <w:tcPr>
            <w:tcW w:type="dxa" w:w="1152"/>
            <w:shd w:fill="F8FAFC"/>
          </w:tcPr>
          <w:p>
            <w:pPr>
              <w:jc w:val="center"/>
            </w:pPr>
            <w:r>
              <w:rPr>
                <w:rFonts w:ascii="Times New Roman" w:hAnsi="Times New Roman"/>
                <w:color w:val="334155"/>
                <w:sz w:val="20"/>
              </w:rPr>
              <w:t>100.0%</w:t>
            </w:r>
          </w:p>
        </w:tc>
      </w:tr>
      <w:tr>
        <w:tc>
          <w:tcPr>
            <w:tcW w:type="dxa" w:w="1440"/>
            <w:shd w:fill="FFFFFF"/>
          </w:tcPr>
          <w:p>
            <w:pPr>
              <w:jc w:val="center"/>
            </w:pPr>
            <w:r>
              <w:rPr>
                <w:rFonts w:ascii="Times New Roman" w:hAnsi="Times New Roman"/>
                <w:color w:val="334155"/>
                <w:sz w:val="20"/>
              </w:rPr>
              <w:t>Cooperative</w:t>
            </w:r>
          </w:p>
        </w:tc>
        <w:tc>
          <w:tcPr>
            <w:tcW w:type="dxa" w:w="1440"/>
            <w:shd w:fill="FFFFFF"/>
          </w:tcPr>
          <w:p>
            <w:pPr>
              <w:jc w:val="left"/>
            </w:pPr>
            <w:r>
              <w:rPr>
                <w:rFonts w:ascii="Times New Roman" w:hAnsi="Times New Roman"/>
                <w:color w:val="334155"/>
                <w:sz w:val="20"/>
              </w:rPr>
              <w:t>Neutral</w:t>
            </w:r>
          </w:p>
        </w:tc>
        <w:tc>
          <w:tcPr>
            <w:tcW w:type="dxa" w:w="1152"/>
            <w:shd w:fill="FFFFFF"/>
          </w:tcPr>
          <w:p>
            <w:pPr>
              <w:jc w:val="center"/>
            </w:pPr>
            <w:r>
              <w:rPr>
                <w:rFonts w:ascii="Times New Roman" w:hAnsi="Times New Roman"/>
                <w:color w:val="334155"/>
                <w:sz w:val="20"/>
              </w:rPr>
              <w:t>100.0%</w:t>
            </w:r>
          </w:p>
        </w:tc>
        <w:tc>
          <w:tcPr>
            <w:tcW w:type="dxa" w:w="1008"/>
            <w:shd w:fill="FFFFFF"/>
          </w:tcPr>
          <w:p>
            <w:pPr>
              <w:jc w:val="center"/>
            </w:pPr>
            <w:r>
              <w:rPr>
                <w:rFonts w:ascii="Times New Roman" w:hAnsi="Times New Roman"/>
                <w:color w:val="334155"/>
                <w:sz w:val="20"/>
              </w:rPr>
              <w:t>5.0</w:t>
            </w:r>
          </w:p>
        </w:tc>
        <w:tc>
          <w:tcPr>
            <w:tcW w:type="dxa" w:w="1152"/>
            <w:shd w:fill="FFFFFF"/>
          </w:tcPr>
          <w:p>
            <w:pPr>
              <w:jc w:val="center"/>
            </w:pPr>
            <w:r>
              <w:rPr>
                <w:rFonts w:ascii="Times New Roman" w:hAnsi="Times New Roman"/>
                <w:color w:val="334155"/>
                <w:sz w:val="20"/>
              </w:rPr>
              <w:t>$83.50</w:t>
            </w:r>
          </w:p>
        </w:tc>
        <w:tc>
          <w:tcPr>
            <w:tcW w:type="dxa" w:w="1152"/>
            <w:shd w:fill="FFFFFF"/>
          </w:tcPr>
          <w:p>
            <w:pPr>
              <w:jc w:val="center"/>
            </w:pPr>
            <w:r>
              <w:rPr>
                <w:rFonts w:ascii="Times New Roman" w:hAnsi="Times New Roman"/>
                <w:color w:val="334155"/>
                <w:sz w:val="20"/>
              </w:rPr>
              <w:t>41.2%</w:t>
            </w:r>
          </w:p>
        </w:tc>
        <w:tc>
          <w:tcPr>
            <w:tcW w:type="dxa" w:w="1152"/>
            <w:shd w:fill="FFFFFF"/>
          </w:tcPr>
          <w:p>
            <w:pPr>
              <w:jc w:val="center"/>
            </w:pPr>
            <w:r>
              <w:rPr>
                <w:rFonts w:ascii="Times New Roman" w:hAnsi="Times New Roman"/>
                <w:color w:val="334155"/>
                <w:sz w:val="20"/>
              </w:rPr>
              <w:t>58.8%</w:t>
            </w:r>
          </w:p>
        </w:tc>
        <w:tc>
          <w:tcPr>
            <w:tcW w:type="dxa" w:w="1152"/>
            <w:shd w:fill="FFFFFF"/>
          </w:tcPr>
          <w:p>
            <w:pPr>
              <w:jc w:val="center"/>
            </w:pPr>
            <w:r>
              <w:rPr>
                <w:rFonts w:ascii="Times New Roman" w:hAnsi="Times New Roman"/>
                <w:color w:val="334155"/>
                <w:sz w:val="20"/>
              </w:rPr>
              <w:t>100.0%</w:t>
            </w:r>
          </w:p>
        </w:tc>
      </w:tr>
      <w:tr>
        <w:tc>
          <w:tcPr>
            <w:tcW w:type="dxa" w:w="1440"/>
            <w:shd w:fill="F8FAFC"/>
          </w:tcPr>
          <w:p>
            <w:pPr>
              <w:jc w:val="center"/>
            </w:pPr>
            <w:r>
              <w:rPr>
                <w:rFonts w:ascii="Times New Roman" w:hAnsi="Times New Roman"/>
                <w:color w:val="334155"/>
                <w:sz w:val="20"/>
              </w:rPr>
              <w:t>Cooperative</w:t>
            </w:r>
          </w:p>
        </w:tc>
        <w:tc>
          <w:tcPr>
            <w:tcW w:type="dxa" w:w="1440"/>
            <w:shd w:fill="F8FAFC"/>
          </w:tcPr>
          <w:p>
            <w:pPr>
              <w:jc w:val="left"/>
            </w:pPr>
            <w:r>
              <w:rPr>
                <w:rFonts w:ascii="Times New Roman" w:hAnsi="Times New Roman"/>
                <w:color w:val="334155"/>
                <w:sz w:val="20"/>
              </w:rPr>
              <w:t>Aggressive</w:t>
            </w:r>
          </w:p>
        </w:tc>
        <w:tc>
          <w:tcPr>
            <w:tcW w:type="dxa" w:w="1152"/>
            <w:shd w:fill="F8FAFC"/>
          </w:tcPr>
          <w:p>
            <w:pPr>
              <w:jc w:val="center"/>
            </w:pPr>
            <w:r>
              <w:rPr>
                <w:rFonts w:ascii="Times New Roman" w:hAnsi="Times New Roman"/>
                <w:color w:val="334155"/>
                <w:sz w:val="20"/>
              </w:rPr>
              <w:t>100.0%</w:t>
            </w:r>
          </w:p>
        </w:tc>
        <w:tc>
          <w:tcPr>
            <w:tcW w:type="dxa" w:w="1008"/>
            <w:shd w:fill="F8FAFC"/>
          </w:tcPr>
          <w:p>
            <w:pPr>
              <w:jc w:val="center"/>
            </w:pPr>
            <w:r>
              <w:rPr>
                <w:rFonts w:ascii="Times New Roman" w:hAnsi="Times New Roman"/>
                <w:color w:val="334155"/>
                <w:sz w:val="20"/>
              </w:rPr>
              <w:t>11.0</w:t>
            </w:r>
          </w:p>
        </w:tc>
        <w:tc>
          <w:tcPr>
            <w:tcW w:type="dxa" w:w="1152"/>
            <w:shd w:fill="F8FAFC"/>
          </w:tcPr>
          <w:p>
            <w:pPr>
              <w:jc w:val="center"/>
            </w:pPr>
            <w:r>
              <w:rPr>
                <w:rFonts w:ascii="Times New Roman" w:hAnsi="Times New Roman"/>
                <w:color w:val="334155"/>
                <w:sz w:val="20"/>
              </w:rPr>
              <w:t>$96.00</w:t>
            </w:r>
          </w:p>
        </w:tc>
        <w:tc>
          <w:tcPr>
            <w:tcW w:type="dxa" w:w="1152"/>
            <w:shd w:fill="F8FAFC"/>
          </w:tcPr>
          <w:p>
            <w:pPr>
              <w:jc w:val="center"/>
            </w:pPr>
            <w:r>
              <w:rPr>
                <w:rFonts w:ascii="Times New Roman" w:hAnsi="Times New Roman"/>
                <w:color w:val="334155"/>
                <w:sz w:val="20"/>
              </w:rPr>
              <w:t>10.0%</w:t>
            </w:r>
          </w:p>
        </w:tc>
        <w:tc>
          <w:tcPr>
            <w:tcW w:type="dxa" w:w="1152"/>
            <w:shd w:fill="F8FAFC"/>
          </w:tcPr>
          <w:p>
            <w:pPr>
              <w:jc w:val="center"/>
            </w:pPr>
            <w:r>
              <w:rPr>
                <w:rFonts w:ascii="Times New Roman" w:hAnsi="Times New Roman"/>
                <w:color w:val="334155"/>
                <w:sz w:val="20"/>
              </w:rPr>
              <w:t>90.0%</w:t>
            </w:r>
          </w:p>
        </w:tc>
        <w:tc>
          <w:tcPr>
            <w:tcW w:type="dxa" w:w="1152"/>
            <w:shd w:fill="F8FAFC"/>
          </w:tcPr>
          <w:p>
            <w:pPr>
              <w:jc w:val="center"/>
            </w:pPr>
            <w:r>
              <w:rPr>
                <w:rFonts w:ascii="Times New Roman" w:hAnsi="Times New Roman"/>
                <w:color w:val="334155"/>
                <w:sz w:val="20"/>
              </w:rPr>
              <w:t>100.0%</w:t>
            </w:r>
          </w:p>
        </w:tc>
      </w:tr>
      <w:tr>
        <w:tc>
          <w:tcPr>
            <w:tcW w:type="dxa" w:w="1440"/>
            <w:shd w:fill="FFFFFF"/>
          </w:tcPr>
          <w:p>
            <w:pPr>
              <w:jc w:val="center"/>
            </w:pPr>
            <w:r>
              <w:rPr>
                <w:rFonts w:ascii="Times New Roman" w:hAnsi="Times New Roman"/>
                <w:color w:val="334155"/>
                <w:sz w:val="20"/>
              </w:rPr>
              <w:t>Neutral</w:t>
            </w:r>
          </w:p>
        </w:tc>
        <w:tc>
          <w:tcPr>
            <w:tcW w:type="dxa" w:w="1440"/>
            <w:shd w:fill="FFFFFF"/>
          </w:tcPr>
          <w:p>
            <w:pPr>
              <w:jc w:val="left"/>
            </w:pPr>
            <w:r>
              <w:rPr>
                <w:rFonts w:ascii="Times New Roman" w:hAnsi="Times New Roman"/>
                <w:color w:val="334155"/>
                <w:sz w:val="20"/>
              </w:rPr>
              <w:t>Cooperative</w:t>
            </w:r>
          </w:p>
        </w:tc>
        <w:tc>
          <w:tcPr>
            <w:tcW w:type="dxa" w:w="1152"/>
            <w:shd w:fill="FFFFFF"/>
          </w:tcPr>
          <w:p>
            <w:pPr>
              <w:jc w:val="center"/>
            </w:pPr>
            <w:r>
              <w:rPr>
                <w:rFonts w:ascii="Times New Roman" w:hAnsi="Times New Roman"/>
                <w:color w:val="334155"/>
                <w:sz w:val="20"/>
              </w:rPr>
              <w:t>100.0%</w:t>
            </w:r>
          </w:p>
        </w:tc>
        <w:tc>
          <w:tcPr>
            <w:tcW w:type="dxa" w:w="1008"/>
            <w:shd w:fill="FFFFFF"/>
          </w:tcPr>
          <w:p>
            <w:pPr>
              <w:jc w:val="center"/>
            </w:pPr>
            <w:r>
              <w:rPr>
                <w:rFonts w:ascii="Times New Roman" w:hAnsi="Times New Roman"/>
                <w:color w:val="334155"/>
                <w:sz w:val="20"/>
              </w:rPr>
              <w:t>5.5</w:t>
            </w:r>
          </w:p>
        </w:tc>
        <w:tc>
          <w:tcPr>
            <w:tcW w:type="dxa" w:w="1152"/>
            <w:shd w:fill="FFFFFF"/>
          </w:tcPr>
          <w:p>
            <w:pPr>
              <w:jc w:val="center"/>
            </w:pPr>
            <w:r>
              <w:rPr>
                <w:rFonts w:ascii="Times New Roman" w:hAnsi="Times New Roman"/>
                <w:color w:val="334155"/>
                <w:sz w:val="20"/>
              </w:rPr>
              <w:t>$76.50</w:t>
            </w:r>
          </w:p>
        </w:tc>
        <w:tc>
          <w:tcPr>
            <w:tcW w:type="dxa" w:w="1152"/>
            <w:shd w:fill="FFFFFF"/>
          </w:tcPr>
          <w:p>
            <w:pPr>
              <w:jc w:val="center"/>
            </w:pPr>
            <w:r>
              <w:rPr>
                <w:rFonts w:ascii="Times New Roman" w:hAnsi="Times New Roman"/>
                <w:color w:val="334155"/>
                <w:sz w:val="20"/>
              </w:rPr>
              <w:t>58.8%</w:t>
            </w:r>
          </w:p>
        </w:tc>
        <w:tc>
          <w:tcPr>
            <w:tcW w:type="dxa" w:w="1152"/>
            <w:shd w:fill="FFFFFF"/>
          </w:tcPr>
          <w:p>
            <w:pPr>
              <w:jc w:val="center"/>
            </w:pPr>
            <w:r>
              <w:rPr>
                <w:rFonts w:ascii="Times New Roman" w:hAnsi="Times New Roman"/>
                <w:color w:val="334155"/>
                <w:sz w:val="20"/>
              </w:rPr>
              <w:t>41.2%</w:t>
            </w:r>
          </w:p>
        </w:tc>
        <w:tc>
          <w:tcPr>
            <w:tcW w:type="dxa" w:w="1152"/>
            <w:shd w:fill="FFFFFF"/>
          </w:tcPr>
          <w:p>
            <w:pPr>
              <w:jc w:val="center"/>
            </w:pPr>
            <w:r>
              <w:rPr>
                <w:rFonts w:ascii="Times New Roman" w:hAnsi="Times New Roman"/>
                <w:color w:val="334155"/>
                <w:sz w:val="20"/>
              </w:rPr>
              <w:t>100.0%</w:t>
            </w:r>
          </w:p>
        </w:tc>
      </w:tr>
      <w:tr>
        <w:tc>
          <w:tcPr>
            <w:tcW w:type="dxa" w:w="1440"/>
            <w:shd w:fill="F8FAFC"/>
          </w:tcPr>
          <w:p>
            <w:pPr>
              <w:jc w:val="center"/>
            </w:pPr>
            <w:r>
              <w:rPr>
                <w:rFonts w:ascii="Times New Roman" w:hAnsi="Times New Roman"/>
                <w:color w:val="334155"/>
                <w:sz w:val="20"/>
              </w:rPr>
              <w:t>Neutral</w:t>
            </w:r>
          </w:p>
        </w:tc>
        <w:tc>
          <w:tcPr>
            <w:tcW w:type="dxa" w:w="1440"/>
            <w:shd w:fill="F8FAFC"/>
          </w:tcPr>
          <w:p>
            <w:pPr>
              <w:jc w:val="left"/>
            </w:pPr>
            <w:r>
              <w:rPr>
                <w:rFonts w:ascii="Times New Roman" w:hAnsi="Times New Roman"/>
                <w:color w:val="334155"/>
                <w:sz w:val="20"/>
              </w:rPr>
              <w:t>Neutral</w:t>
            </w:r>
          </w:p>
        </w:tc>
        <w:tc>
          <w:tcPr>
            <w:tcW w:type="dxa" w:w="1152"/>
            <w:shd w:fill="F8FAFC"/>
          </w:tcPr>
          <w:p>
            <w:pPr>
              <w:jc w:val="center"/>
            </w:pPr>
            <w:r>
              <w:rPr>
                <w:rFonts w:ascii="Times New Roman" w:hAnsi="Times New Roman"/>
                <w:color w:val="334155"/>
                <w:sz w:val="20"/>
              </w:rPr>
              <w:t>100.0%</w:t>
            </w:r>
          </w:p>
        </w:tc>
        <w:tc>
          <w:tcPr>
            <w:tcW w:type="dxa" w:w="1008"/>
            <w:shd w:fill="F8FAFC"/>
          </w:tcPr>
          <w:p>
            <w:pPr>
              <w:jc w:val="center"/>
            </w:pPr>
            <w:r>
              <w:rPr>
                <w:rFonts w:ascii="Times New Roman" w:hAnsi="Times New Roman"/>
                <w:color w:val="334155"/>
                <w:sz w:val="20"/>
              </w:rPr>
              <w:t>8.0</w:t>
            </w:r>
          </w:p>
        </w:tc>
        <w:tc>
          <w:tcPr>
            <w:tcW w:type="dxa" w:w="1152"/>
            <w:shd w:fill="F8FAFC"/>
          </w:tcPr>
          <w:p>
            <w:pPr>
              <w:jc w:val="center"/>
            </w:pPr>
            <w:r>
              <w:rPr>
                <w:rFonts w:ascii="Times New Roman" w:hAnsi="Times New Roman"/>
                <w:color w:val="334155"/>
                <w:sz w:val="20"/>
              </w:rPr>
              <w:t>$80.00</w:t>
            </w:r>
          </w:p>
        </w:tc>
        <w:tc>
          <w:tcPr>
            <w:tcW w:type="dxa" w:w="1152"/>
            <w:shd w:fill="F8FAFC"/>
          </w:tcPr>
          <w:p>
            <w:pPr>
              <w:jc w:val="center"/>
            </w:pPr>
            <w:r>
              <w:rPr>
                <w:rFonts w:ascii="Times New Roman" w:hAnsi="Times New Roman"/>
                <w:color w:val="334155"/>
                <w:sz w:val="20"/>
              </w:rPr>
              <w:t>50.0%</w:t>
            </w:r>
          </w:p>
        </w:tc>
        <w:tc>
          <w:tcPr>
            <w:tcW w:type="dxa" w:w="1152"/>
            <w:shd w:fill="F8FAFC"/>
          </w:tcPr>
          <w:p>
            <w:pPr>
              <w:jc w:val="center"/>
            </w:pPr>
            <w:r>
              <w:rPr>
                <w:rFonts w:ascii="Times New Roman" w:hAnsi="Times New Roman"/>
                <w:color w:val="334155"/>
                <w:sz w:val="20"/>
              </w:rPr>
              <w:t>50.0%</w:t>
            </w:r>
          </w:p>
        </w:tc>
        <w:tc>
          <w:tcPr>
            <w:tcW w:type="dxa" w:w="1152"/>
            <w:shd w:fill="F8FAFC"/>
          </w:tcPr>
          <w:p>
            <w:pPr>
              <w:jc w:val="center"/>
            </w:pPr>
            <w:r>
              <w:rPr>
                <w:rFonts w:ascii="Times New Roman" w:hAnsi="Times New Roman"/>
                <w:color w:val="334155"/>
                <w:sz w:val="20"/>
              </w:rPr>
              <w:t>100.0%</w:t>
            </w:r>
          </w:p>
        </w:tc>
      </w:tr>
      <w:tr>
        <w:tc>
          <w:tcPr>
            <w:tcW w:type="dxa" w:w="1440"/>
            <w:shd w:fill="FFFFFF"/>
          </w:tcPr>
          <w:p>
            <w:pPr>
              <w:jc w:val="center"/>
            </w:pPr>
            <w:r>
              <w:rPr>
                <w:rFonts w:ascii="Times New Roman" w:hAnsi="Times New Roman"/>
                <w:color w:val="334155"/>
                <w:sz w:val="20"/>
              </w:rPr>
              <w:t>Neutral</w:t>
            </w:r>
          </w:p>
        </w:tc>
        <w:tc>
          <w:tcPr>
            <w:tcW w:type="dxa" w:w="1440"/>
            <w:shd w:fill="FFFFFF"/>
          </w:tcPr>
          <w:p>
            <w:pPr>
              <w:jc w:val="left"/>
            </w:pPr>
            <w:r>
              <w:rPr>
                <w:rFonts w:ascii="Times New Roman" w:hAnsi="Times New Roman"/>
                <w:color w:val="334155"/>
                <w:sz w:val="20"/>
              </w:rPr>
              <w:t>Aggressive</w:t>
            </w:r>
          </w:p>
        </w:tc>
        <w:tc>
          <w:tcPr>
            <w:tcW w:type="dxa" w:w="1152"/>
            <w:shd w:fill="FFFFFF"/>
          </w:tcPr>
          <w:p>
            <w:pPr>
              <w:jc w:val="center"/>
            </w:pPr>
            <w:r>
              <w:rPr>
                <w:rFonts w:ascii="Times New Roman" w:hAnsi="Times New Roman"/>
                <w:color w:val="334155"/>
                <w:sz w:val="20"/>
              </w:rPr>
              <w:t>100.0%</w:t>
            </w:r>
          </w:p>
        </w:tc>
        <w:tc>
          <w:tcPr>
            <w:tcW w:type="dxa" w:w="1008"/>
            <w:shd w:fill="FFFFFF"/>
          </w:tcPr>
          <w:p>
            <w:pPr>
              <w:jc w:val="center"/>
            </w:pPr>
            <w:r>
              <w:rPr>
                <w:rFonts w:ascii="Times New Roman" w:hAnsi="Times New Roman"/>
                <w:color w:val="334155"/>
                <w:sz w:val="20"/>
              </w:rPr>
              <w:t>12.0</w:t>
            </w:r>
          </w:p>
        </w:tc>
        <w:tc>
          <w:tcPr>
            <w:tcW w:type="dxa" w:w="1152"/>
            <w:shd w:fill="FFFFFF"/>
          </w:tcPr>
          <w:p>
            <w:pPr>
              <w:jc w:val="center"/>
            </w:pPr>
            <w:r>
              <w:rPr>
                <w:rFonts w:ascii="Times New Roman" w:hAnsi="Times New Roman"/>
                <w:color w:val="334155"/>
                <w:sz w:val="20"/>
              </w:rPr>
              <w:t>$88.50</w:t>
            </w:r>
          </w:p>
        </w:tc>
        <w:tc>
          <w:tcPr>
            <w:tcW w:type="dxa" w:w="1152"/>
            <w:shd w:fill="FFFFFF"/>
          </w:tcPr>
          <w:p>
            <w:pPr>
              <w:jc w:val="center"/>
            </w:pPr>
            <w:r>
              <w:rPr>
                <w:rFonts w:ascii="Times New Roman" w:hAnsi="Times New Roman"/>
                <w:color w:val="334155"/>
                <w:sz w:val="20"/>
              </w:rPr>
              <w:t>28.8%</w:t>
            </w:r>
          </w:p>
        </w:tc>
        <w:tc>
          <w:tcPr>
            <w:tcW w:type="dxa" w:w="1152"/>
            <w:shd w:fill="FFFFFF"/>
          </w:tcPr>
          <w:p>
            <w:pPr>
              <w:jc w:val="center"/>
            </w:pPr>
            <w:r>
              <w:rPr>
                <w:rFonts w:ascii="Times New Roman" w:hAnsi="Times New Roman"/>
                <w:color w:val="334155"/>
                <w:sz w:val="20"/>
              </w:rPr>
              <w:t>71.2%</w:t>
            </w:r>
          </w:p>
        </w:tc>
        <w:tc>
          <w:tcPr>
            <w:tcW w:type="dxa" w:w="1152"/>
            <w:shd w:fill="FFFFFF"/>
          </w:tcPr>
          <w:p>
            <w:pPr>
              <w:jc w:val="center"/>
            </w:pPr>
            <w:r>
              <w:rPr>
                <w:rFonts w:ascii="Times New Roman" w:hAnsi="Times New Roman"/>
                <w:color w:val="334155"/>
                <w:sz w:val="20"/>
              </w:rPr>
              <w:t>100.0%</w:t>
            </w:r>
          </w:p>
        </w:tc>
      </w:tr>
      <w:tr>
        <w:tc>
          <w:tcPr>
            <w:tcW w:type="dxa" w:w="1440"/>
            <w:shd w:fill="F8FAFC"/>
          </w:tcPr>
          <w:p>
            <w:pPr>
              <w:jc w:val="center"/>
            </w:pPr>
            <w:r>
              <w:rPr>
                <w:rFonts w:ascii="Times New Roman" w:hAnsi="Times New Roman"/>
                <w:color w:val="334155"/>
                <w:sz w:val="20"/>
              </w:rPr>
              <w:t>Aggressive</w:t>
            </w:r>
          </w:p>
        </w:tc>
        <w:tc>
          <w:tcPr>
            <w:tcW w:type="dxa" w:w="1440"/>
            <w:shd w:fill="F8FAFC"/>
          </w:tcPr>
          <w:p>
            <w:pPr>
              <w:jc w:val="left"/>
            </w:pPr>
            <w:r>
              <w:rPr>
                <w:rFonts w:ascii="Times New Roman" w:hAnsi="Times New Roman"/>
                <w:color w:val="334155"/>
                <w:sz w:val="20"/>
              </w:rPr>
              <w:t>Cooperative</w:t>
            </w:r>
          </w:p>
        </w:tc>
        <w:tc>
          <w:tcPr>
            <w:tcW w:type="dxa" w:w="1152"/>
            <w:shd w:fill="F8FAFC"/>
          </w:tcPr>
          <w:p>
            <w:pPr>
              <w:jc w:val="center"/>
            </w:pPr>
            <w:r>
              <w:rPr>
                <w:rFonts w:ascii="Times New Roman" w:hAnsi="Times New Roman"/>
                <w:color w:val="334155"/>
                <w:sz w:val="20"/>
              </w:rPr>
              <w:t>100.0%</w:t>
            </w:r>
          </w:p>
        </w:tc>
        <w:tc>
          <w:tcPr>
            <w:tcW w:type="dxa" w:w="1008"/>
            <w:shd w:fill="F8FAFC"/>
          </w:tcPr>
          <w:p>
            <w:pPr>
              <w:jc w:val="center"/>
            </w:pPr>
            <w:r>
              <w:rPr>
                <w:rFonts w:ascii="Times New Roman" w:hAnsi="Times New Roman"/>
                <w:color w:val="334155"/>
                <w:sz w:val="20"/>
              </w:rPr>
              <w:t>7.0</w:t>
            </w:r>
          </w:p>
        </w:tc>
        <w:tc>
          <w:tcPr>
            <w:tcW w:type="dxa" w:w="1152"/>
            <w:shd w:fill="F8FAFC"/>
          </w:tcPr>
          <w:p>
            <w:pPr>
              <w:jc w:val="center"/>
            </w:pPr>
            <w:r>
              <w:rPr>
                <w:rFonts w:ascii="Times New Roman" w:hAnsi="Times New Roman"/>
                <w:color w:val="334155"/>
                <w:sz w:val="20"/>
              </w:rPr>
              <w:t>$60.00</w:t>
            </w:r>
          </w:p>
        </w:tc>
        <w:tc>
          <w:tcPr>
            <w:tcW w:type="dxa" w:w="1152"/>
            <w:shd w:fill="F8FAFC"/>
          </w:tcPr>
          <w:p>
            <w:pPr>
              <w:jc w:val="center"/>
            </w:pPr>
            <w:r>
              <w:rPr>
                <w:rFonts w:ascii="Times New Roman" w:hAnsi="Times New Roman"/>
                <w:color w:val="334155"/>
                <w:sz w:val="20"/>
              </w:rPr>
              <w:t>100.0%</w:t>
            </w:r>
          </w:p>
        </w:tc>
        <w:tc>
          <w:tcPr>
            <w:tcW w:type="dxa" w:w="1152"/>
            <w:shd w:fill="F8FAFC"/>
          </w:tcPr>
          <w:p>
            <w:pPr>
              <w:jc w:val="center"/>
            </w:pPr>
            <w:r>
              <w:rPr>
                <w:rFonts w:ascii="Times New Roman" w:hAnsi="Times New Roman"/>
                <w:color w:val="334155"/>
                <w:sz w:val="20"/>
              </w:rPr>
              <w:t>0.0%</w:t>
            </w:r>
          </w:p>
        </w:tc>
        <w:tc>
          <w:tcPr>
            <w:tcW w:type="dxa" w:w="1152"/>
            <w:shd w:fill="F8FAFC"/>
          </w:tcPr>
          <w:p>
            <w:pPr>
              <w:jc w:val="center"/>
            </w:pPr>
            <w:r>
              <w:rPr>
                <w:rFonts w:ascii="Times New Roman" w:hAnsi="Times New Roman"/>
                <w:color w:val="334155"/>
                <w:sz w:val="20"/>
              </w:rPr>
              <w:t>100.0%</w:t>
            </w:r>
          </w:p>
        </w:tc>
      </w:tr>
      <w:tr>
        <w:tc>
          <w:tcPr>
            <w:tcW w:type="dxa" w:w="1440"/>
            <w:shd w:fill="FFFFFF"/>
          </w:tcPr>
          <w:p>
            <w:pPr>
              <w:jc w:val="center"/>
            </w:pPr>
            <w:r>
              <w:rPr>
                <w:rFonts w:ascii="Times New Roman" w:hAnsi="Times New Roman"/>
                <w:color w:val="334155"/>
                <w:sz w:val="20"/>
              </w:rPr>
              <w:t>Aggressive</w:t>
            </w:r>
          </w:p>
        </w:tc>
        <w:tc>
          <w:tcPr>
            <w:tcW w:type="dxa" w:w="1440"/>
            <w:shd w:fill="FFFFFF"/>
          </w:tcPr>
          <w:p>
            <w:pPr>
              <w:jc w:val="left"/>
            </w:pPr>
            <w:r>
              <w:rPr>
                <w:rFonts w:ascii="Times New Roman" w:hAnsi="Times New Roman"/>
                <w:color w:val="334155"/>
                <w:sz w:val="20"/>
              </w:rPr>
              <w:t>Neutral</w:t>
            </w:r>
          </w:p>
        </w:tc>
        <w:tc>
          <w:tcPr>
            <w:tcW w:type="dxa" w:w="1152"/>
            <w:shd w:fill="FFFFFF"/>
          </w:tcPr>
          <w:p>
            <w:pPr>
              <w:jc w:val="center"/>
            </w:pPr>
            <w:r>
              <w:rPr>
                <w:rFonts w:ascii="Times New Roman" w:hAnsi="Times New Roman"/>
                <w:color w:val="334155"/>
                <w:sz w:val="20"/>
              </w:rPr>
              <w:t>100.0%</w:t>
            </w:r>
          </w:p>
        </w:tc>
        <w:tc>
          <w:tcPr>
            <w:tcW w:type="dxa" w:w="1008"/>
            <w:shd w:fill="FFFFFF"/>
          </w:tcPr>
          <w:p>
            <w:pPr>
              <w:jc w:val="center"/>
            </w:pPr>
            <w:r>
              <w:rPr>
                <w:rFonts w:ascii="Times New Roman" w:hAnsi="Times New Roman"/>
                <w:color w:val="334155"/>
                <w:sz w:val="20"/>
              </w:rPr>
              <w:t>11.5</w:t>
            </w:r>
          </w:p>
        </w:tc>
        <w:tc>
          <w:tcPr>
            <w:tcW w:type="dxa" w:w="1152"/>
            <w:shd w:fill="FFFFFF"/>
          </w:tcPr>
          <w:p>
            <w:pPr>
              <w:jc w:val="center"/>
            </w:pPr>
            <w:r>
              <w:rPr>
                <w:rFonts w:ascii="Times New Roman" w:hAnsi="Times New Roman"/>
                <w:color w:val="334155"/>
                <w:sz w:val="20"/>
              </w:rPr>
              <w:t>$71.50</w:t>
            </w:r>
          </w:p>
        </w:tc>
        <w:tc>
          <w:tcPr>
            <w:tcW w:type="dxa" w:w="1152"/>
            <w:shd w:fill="FFFFFF"/>
          </w:tcPr>
          <w:p>
            <w:pPr>
              <w:jc w:val="center"/>
            </w:pPr>
            <w:r>
              <w:rPr>
                <w:rFonts w:ascii="Times New Roman" w:hAnsi="Times New Roman"/>
                <w:color w:val="334155"/>
                <w:sz w:val="20"/>
              </w:rPr>
              <w:t>71.2%</w:t>
            </w:r>
          </w:p>
        </w:tc>
        <w:tc>
          <w:tcPr>
            <w:tcW w:type="dxa" w:w="1152"/>
            <w:shd w:fill="FFFFFF"/>
          </w:tcPr>
          <w:p>
            <w:pPr>
              <w:jc w:val="center"/>
            </w:pPr>
            <w:r>
              <w:rPr>
                <w:rFonts w:ascii="Times New Roman" w:hAnsi="Times New Roman"/>
                <w:color w:val="334155"/>
                <w:sz w:val="20"/>
              </w:rPr>
              <w:t>28.8%</w:t>
            </w:r>
          </w:p>
        </w:tc>
        <w:tc>
          <w:tcPr>
            <w:tcW w:type="dxa" w:w="1152"/>
            <w:shd w:fill="FFFFFF"/>
          </w:tcPr>
          <w:p>
            <w:pPr>
              <w:jc w:val="center"/>
            </w:pPr>
            <w:r>
              <w:rPr>
                <w:rFonts w:ascii="Times New Roman" w:hAnsi="Times New Roman"/>
                <w:color w:val="334155"/>
                <w:sz w:val="20"/>
              </w:rPr>
              <w:t>100.0%</w:t>
            </w:r>
          </w:p>
        </w:tc>
      </w:tr>
      <w:tr>
        <w:tc>
          <w:tcPr>
            <w:tcW w:type="dxa" w:w="1440"/>
            <w:shd w:fill="F8FAFC"/>
          </w:tcPr>
          <w:p>
            <w:pPr>
              <w:jc w:val="center"/>
            </w:pPr>
            <w:r>
              <w:rPr>
                <w:rFonts w:ascii="Times New Roman" w:hAnsi="Times New Roman"/>
                <w:color w:val="334155"/>
                <w:sz w:val="20"/>
              </w:rPr>
              <w:t>Aggressive</w:t>
            </w:r>
          </w:p>
        </w:tc>
        <w:tc>
          <w:tcPr>
            <w:tcW w:type="dxa" w:w="1440"/>
            <w:shd w:fill="F8FAFC"/>
          </w:tcPr>
          <w:p>
            <w:pPr>
              <w:jc w:val="left"/>
            </w:pPr>
            <w:r>
              <w:rPr>
                <w:rFonts w:ascii="Times New Roman" w:hAnsi="Times New Roman"/>
                <w:color w:val="334155"/>
                <w:sz w:val="20"/>
              </w:rPr>
              <w:t>Aggressive</w:t>
            </w:r>
          </w:p>
        </w:tc>
        <w:tc>
          <w:tcPr>
            <w:tcW w:type="dxa" w:w="1152"/>
            <w:shd w:fill="F8FAFC"/>
          </w:tcPr>
          <w:p>
            <w:pPr>
              <w:jc w:val="center"/>
            </w:pPr>
            <w:r>
              <w:rPr>
                <w:rFonts w:ascii="Times New Roman" w:hAnsi="Times New Roman"/>
                <w:color w:val="334155"/>
                <w:sz w:val="20"/>
              </w:rPr>
              <w:t>80.0%</w:t>
            </w:r>
          </w:p>
        </w:tc>
        <w:tc>
          <w:tcPr>
            <w:tcW w:type="dxa" w:w="1008"/>
            <w:shd w:fill="F8FAFC"/>
          </w:tcPr>
          <w:p>
            <w:pPr>
              <w:jc w:val="center"/>
            </w:pPr>
            <w:r>
              <w:rPr>
                <w:rFonts w:ascii="Times New Roman" w:hAnsi="Times New Roman"/>
                <w:color w:val="334155"/>
                <w:sz w:val="20"/>
              </w:rPr>
              <w:t>15.0</w:t>
            </w:r>
          </w:p>
        </w:tc>
        <w:tc>
          <w:tcPr>
            <w:tcW w:type="dxa" w:w="1152"/>
            <w:shd w:fill="F8FAFC"/>
          </w:tcPr>
          <w:p>
            <w:pPr>
              <w:jc w:val="center"/>
            </w:pPr>
            <w:r>
              <w:rPr>
                <w:rFonts w:ascii="Times New Roman" w:hAnsi="Times New Roman"/>
                <w:color w:val="334155"/>
                <w:sz w:val="20"/>
              </w:rPr>
              <w:t>$75.00</w:t>
            </w:r>
          </w:p>
        </w:tc>
        <w:tc>
          <w:tcPr>
            <w:tcW w:type="dxa" w:w="1152"/>
            <w:shd w:fill="F8FAFC"/>
          </w:tcPr>
          <w:p>
            <w:pPr>
              <w:jc w:val="center"/>
            </w:pPr>
            <w:r>
              <w:rPr>
                <w:rFonts w:ascii="Times New Roman" w:hAnsi="Times New Roman"/>
                <w:color w:val="334155"/>
                <w:sz w:val="20"/>
              </w:rPr>
              <w:t>62.5%</w:t>
            </w:r>
          </w:p>
        </w:tc>
        <w:tc>
          <w:tcPr>
            <w:tcW w:type="dxa" w:w="1152"/>
            <w:shd w:fill="F8FAFC"/>
          </w:tcPr>
          <w:p>
            <w:pPr>
              <w:jc w:val="center"/>
            </w:pPr>
            <w:r>
              <w:rPr>
                <w:rFonts w:ascii="Times New Roman" w:hAnsi="Times New Roman"/>
                <w:color w:val="334155"/>
                <w:sz w:val="20"/>
              </w:rPr>
              <w:t>37.5%</w:t>
            </w:r>
          </w:p>
        </w:tc>
        <w:tc>
          <w:tcPr>
            <w:tcW w:type="dxa" w:w="1152"/>
            <w:shd w:fill="F8FAFC"/>
          </w:tcPr>
          <w:p>
            <w:pPr>
              <w:jc w:val="center"/>
            </w:pPr>
            <w:r>
              <w:rPr>
                <w:rFonts w:ascii="Times New Roman" w:hAnsi="Times New Roman"/>
                <w:color w:val="334155"/>
                <w:sz w:val="20"/>
              </w:rPr>
              <w:t>100.0%</w:t>
            </w:r>
          </w:p>
        </w:tc>
      </w:tr>
    </w:tbl>
    <w:p>
      <w:r>
        <w:br w:type="page"/>
      </w:r>
    </w:p>
    <w:p>
      <w:pPr>
        <w:keepNext/>
        <w:spacing w:before="320" w:after="120"/>
      </w:pPr>
      <w:r>
        <w:rPr>
          <w:rFonts w:ascii="Times New Roman" w:hAnsi="Times New Roman"/>
          <w:b/>
          <w:color w:val="1E3A8A"/>
          <w:sz w:val="30"/>
        </w:rPr>
        <w:t>CHAPTER 7: CONCLUSIONS &amp; FUTURE WORK</w:t>
      </w:r>
    </w:p>
    <w:p>
      <w:pPr>
        <w:keepNext/>
        <w:spacing w:before="240" w:after="80"/>
      </w:pPr>
      <w:r>
        <w:rPr>
          <w:rFonts w:ascii="Times New Roman" w:hAnsi="Times New Roman"/>
          <w:b/>
          <w:color w:val="0F172A"/>
          <w:sz w:val="26"/>
        </w:rPr>
        <w:t>7.1 Summary of Accomplishments</w:t>
      </w:r>
    </w:p>
    <w:p>
      <w:pPr>
        <w:spacing w:line="360" w:lineRule="auto" w:after="120"/>
        <w:jc w:val="both"/>
      </w:pPr>
      <w:r>
        <w:rPr>
          <w:rFonts w:ascii="Times New Roman" w:hAnsi="Times New Roman"/>
          <w:color w:val="334155"/>
          <w:sz w:val="24"/>
        </w:rPr>
        <w:t>The Concord project successfully designed, implemented, and validated a state-of-the-art computational simulation platform for autonomous LLM negotiation. Key accomplishments include:</w:t>
      </w:r>
    </w:p>
    <w:p>
      <w:pPr>
        <w:pStyle w:val="ListBullet"/>
        <w:spacing w:after="60" w:line="300" w:lineRule="auto"/>
      </w:pPr>
      <w:r>
        <w:rPr>
          <w:rFonts w:ascii="Times New Roman" w:hAnsi="Times New Roman"/>
          <w:b/>
          <w:color w:val="0F172A"/>
        </w:rPr>
        <w:t xml:space="preserve">1. End-to-End Orchestrator: </w:t>
      </w:r>
      <w:r>
        <w:rPr>
          <w:rFonts w:ascii="Times New Roman" w:hAnsi="Times New Roman"/>
          <w:color w:val="334155"/>
          <w:sz w:val="23"/>
        </w:rPr>
        <w:t>Developed a fully modular, zero-dependency Python multi-agent pipeline orchestrating alternating turn-based natural language bargaining between independently prompted Gemma 4 agents.</w:t>
      </w:r>
    </w:p>
    <w:p>
      <w:pPr>
        <w:pStyle w:val="ListBullet"/>
        <w:spacing w:after="60" w:line="300" w:lineRule="auto"/>
      </w:pPr>
      <w:r>
        <w:rPr>
          <w:rFonts w:ascii="Times New Roman" w:hAnsi="Times New Roman"/>
          <w:b/>
          <w:color w:val="0F172A"/>
        </w:rPr>
        <w:t xml:space="preserve">2. Behavioral Modeling: </w:t>
      </w:r>
      <w:r>
        <w:rPr>
          <w:rFonts w:ascii="Times New Roman" w:hAnsi="Times New Roman"/>
          <w:color w:val="334155"/>
          <w:sz w:val="23"/>
        </w:rPr>
        <w:t>Engineered system prompt templates that reliably induce Cooperative, Neutral, and Aggressive bargaining behaviors while enforcing structured JSON schema outputs.</w:t>
      </w:r>
    </w:p>
    <w:p>
      <w:pPr>
        <w:pStyle w:val="ListBullet"/>
        <w:spacing w:after="60" w:line="300" w:lineRule="auto"/>
      </w:pPr>
      <w:r>
        <w:rPr>
          <w:rFonts w:ascii="Times New Roman" w:hAnsi="Times New Roman"/>
          <w:b/>
          <w:color w:val="0F172A"/>
        </w:rPr>
        <w:t xml:space="preserve">3. Economic Validation: </w:t>
      </w:r>
      <w:r>
        <w:rPr>
          <w:rFonts w:ascii="Times New Roman" w:hAnsi="Times New Roman"/>
          <w:color w:val="334155"/>
          <w:sz w:val="23"/>
        </w:rPr>
        <w:t>Demonstrated empirically that LLMs adhere to Individual Rationality constraints while exhibiting strong strategic reactions to persona asymmetry and privileged information.</w:t>
      </w:r>
    </w:p>
    <w:p>
      <w:pPr>
        <w:pStyle w:val="ListBullet"/>
        <w:spacing w:after="60" w:line="300" w:lineRule="auto"/>
      </w:pPr>
      <w:r>
        <w:rPr>
          <w:rFonts w:ascii="Times New Roman" w:hAnsi="Times New Roman"/>
          <w:b/>
          <w:color w:val="0F172A"/>
        </w:rPr>
        <w:t xml:space="preserve">4. Analytics &amp; UI: </w:t>
      </w:r>
      <w:r>
        <w:rPr>
          <w:rFonts w:ascii="Times New Roman" w:hAnsi="Times New Roman"/>
          <w:color w:val="334155"/>
          <w:sz w:val="23"/>
        </w:rPr>
        <w:t>Delivered a comprehensive Pandas analytical metrics engine alongside an interactive Streamlit demonstration dashboard supporting real-time simulation and historical replay.</w:t>
      </w:r>
    </w:p>
    <w:p>
      <w:pPr>
        <w:keepNext/>
        <w:spacing w:before="240" w:after="80"/>
      </w:pPr>
      <w:r>
        <w:rPr>
          <w:rFonts w:ascii="Times New Roman" w:hAnsi="Times New Roman"/>
          <w:b/>
          <w:color w:val="0F172A"/>
          <w:sz w:val="26"/>
        </w:rPr>
        <w:t>7.2 Limitations of Current Study</w:t>
      </w:r>
    </w:p>
    <w:p>
      <w:pPr>
        <w:spacing w:line="360" w:lineRule="auto" w:after="120"/>
        <w:jc w:val="both"/>
      </w:pPr>
      <w:r>
        <w:rPr>
          <w:rFonts w:ascii="Times New Roman" w:hAnsi="Times New Roman"/>
          <w:color w:val="334155"/>
          <w:sz w:val="24"/>
        </w:rPr>
        <w:t>While the project achieved all stated objectives, certain boundaries are noted:</w:t>
      </w:r>
    </w:p>
    <w:p>
      <w:pPr>
        <w:pStyle w:val="ListBullet"/>
        <w:spacing w:after="60" w:line="300" w:lineRule="auto"/>
      </w:pPr>
      <w:r>
        <w:rPr>
          <w:rFonts w:ascii="Times New Roman" w:hAnsi="Times New Roman"/>
          <w:b/>
          <w:color w:val="0F172A"/>
        </w:rPr>
        <w:t xml:space="preserve">Single-Issue Scope: </w:t>
      </w:r>
      <w:r>
        <w:rPr>
          <w:rFonts w:ascii="Times New Roman" w:hAnsi="Times New Roman"/>
          <w:color w:val="334155"/>
          <w:sz w:val="23"/>
        </w:rPr>
        <w:t>Negotiations are restricted to bilateral single-issue pricing. Real-world commerce frequently incorporates multi-attribute contracts (e.g., delivery timelines, warranties, payment terms).</w:t>
      </w:r>
    </w:p>
    <w:p>
      <w:pPr>
        <w:pStyle w:val="ListBullet"/>
        <w:spacing w:after="60" w:line="300" w:lineRule="auto"/>
      </w:pPr>
      <w:r>
        <w:rPr>
          <w:rFonts w:ascii="Times New Roman" w:hAnsi="Times New Roman"/>
          <w:b/>
          <w:color w:val="0F172A"/>
        </w:rPr>
        <w:t xml:space="preserve">Prompting vs. Fine-Tuning: </w:t>
      </w:r>
      <w:r>
        <w:rPr>
          <w:rFonts w:ascii="Times New Roman" w:hAnsi="Times New Roman"/>
          <w:color w:val="334155"/>
          <w:sz w:val="23"/>
        </w:rPr>
        <w:t>The current system relies entirely on in-context prompt engineering without parameter fine-tuning (LoRA) or reinforcement learning.</w:t>
      </w:r>
    </w:p>
    <w:p>
      <w:pPr>
        <w:pStyle w:val="ListBullet"/>
        <w:spacing w:after="60" w:line="300" w:lineRule="auto"/>
      </w:pPr>
      <w:r>
        <w:rPr>
          <w:rFonts w:ascii="Times New Roman" w:hAnsi="Times New Roman"/>
          <w:b/>
          <w:color w:val="0F172A"/>
        </w:rPr>
        <w:t xml:space="preserve">Discount Factor Modeling: </w:t>
      </w:r>
      <w:r>
        <w:rPr>
          <w:rFonts w:ascii="Times New Roman" w:hAnsi="Times New Roman"/>
          <w:color w:val="334155"/>
          <w:sz w:val="23"/>
        </w:rPr>
        <w:t>Evaluations utilized text-based reasoning without explicit numerical discount factor degradation functions.</w:t>
      </w:r>
    </w:p>
    <w:p>
      <w:pPr>
        <w:keepNext/>
        <w:spacing w:before="240" w:after="80"/>
      </w:pPr>
      <w:r>
        <w:rPr>
          <w:rFonts w:ascii="Times New Roman" w:hAnsi="Times New Roman"/>
          <w:b/>
          <w:color w:val="0F172A"/>
          <w:sz w:val="26"/>
        </w:rPr>
        <w:t>7.3 Future Research Directions</w:t>
      </w:r>
    </w:p>
    <w:p>
      <w:pPr>
        <w:spacing w:line="360" w:lineRule="auto" w:after="120"/>
        <w:jc w:val="both"/>
      </w:pPr>
      <w:r>
        <w:rPr>
          <w:rFonts w:ascii="Times New Roman" w:hAnsi="Times New Roman"/>
          <w:color w:val="334155"/>
          <w:sz w:val="24"/>
        </w:rPr>
        <w:t>Building upon Concord's foundational architecture, several promising avenues for future research are identified:</w:t>
      </w:r>
    </w:p>
    <w:p>
      <w:pPr>
        <w:pStyle w:val="ListBullet"/>
        <w:spacing w:after="60" w:line="300" w:lineRule="auto"/>
      </w:pPr>
      <w:r>
        <w:rPr>
          <w:rFonts w:ascii="Times New Roman" w:hAnsi="Times New Roman"/>
          <w:b/>
          <w:color w:val="0F172A"/>
        </w:rPr>
        <w:t xml:space="preserve">Multi-Issue Contracts: </w:t>
      </w:r>
      <w:r>
        <w:rPr>
          <w:rFonts w:ascii="Times New Roman" w:hAnsi="Times New Roman"/>
          <w:color w:val="334155"/>
          <w:sz w:val="23"/>
        </w:rPr>
        <w:t>Extending the orchestrator to multi-attribute negotiations where agents trade off price against delivery dates, warranty periods, and bulk volume discounts.</w:t>
      </w:r>
    </w:p>
    <w:p>
      <w:pPr>
        <w:pStyle w:val="ListBullet"/>
        <w:spacing w:after="60" w:line="300" w:lineRule="auto"/>
      </w:pPr>
      <w:r>
        <w:rPr>
          <w:rFonts w:ascii="Times New Roman" w:hAnsi="Times New Roman"/>
          <w:b/>
          <w:color w:val="0F172A"/>
        </w:rPr>
        <w:t xml:space="preserve">Multi-Party Auctions: </w:t>
      </w:r>
      <w:r>
        <w:rPr>
          <w:rFonts w:ascii="Times New Roman" w:hAnsi="Times New Roman"/>
          <w:color w:val="334155"/>
          <w:sz w:val="23"/>
        </w:rPr>
        <w:t>Scaling the framework to multilateral auction environments, including English auctions, Dutch auctions, and concurrent bilateral bargaining.</w:t>
      </w:r>
    </w:p>
    <w:p>
      <w:pPr>
        <w:pStyle w:val="ListBullet"/>
        <w:spacing w:after="60" w:line="300" w:lineRule="auto"/>
      </w:pPr>
      <w:r>
        <w:rPr>
          <w:rFonts w:ascii="Times New Roman" w:hAnsi="Times New Roman"/>
          <w:b/>
          <w:color w:val="0F172A"/>
        </w:rPr>
        <w:t xml:space="preserve">Human-in-the-Loop Interaction: </w:t>
      </w:r>
      <w:r>
        <w:rPr>
          <w:rFonts w:ascii="Times New Roman" w:hAnsi="Times New Roman"/>
          <w:color w:val="334155"/>
          <w:sz w:val="23"/>
        </w:rPr>
        <w:t>Developing an interactive interface enabling human negotiators to bargain in real-time against autonomous LLM agents to evaluate human-AI trust and concession dynamics.</w:t>
      </w:r>
    </w:p>
    <w:p>
      <w:pPr>
        <w:pStyle w:val="ListBullet"/>
        <w:spacing w:after="60" w:line="300" w:lineRule="auto"/>
      </w:pPr>
      <w:r>
        <w:rPr>
          <w:rFonts w:ascii="Times New Roman" w:hAnsi="Times New Roman"/>
          <w:b/>
          <w:color w:val="0F172A"/>
        </w:rPr>
        <w:t xml:space="preserve">Reinforcement Learning: </w:t>
      </w:r>
      <w:r>
        <w:rPr>
          <w:rFonts w:ascii="Times New Roman" w:hAnsi="Times New Roman"/>
          <w:color w:val="334155"/>
          <w:sz w:val="23"/>
        </w:rPr>
        <w:t>Employing Direct Preference Optimization (DPO) and Reinforcement Learning from AI Feedback (RLAIF) to train specialized negotiation models that surpass base prompt engineering.</w:t>
      </w:r>
    </w:p>
    <w:p>
      <w:r>
        <w:br w:type="page"/>
      </w:r>
    </w:p>
    <w:p>
      <w:pPr>
        <w:keepNext/>
        <w:spacing w:before="320" w:after="120"/>
      </w:pPr>
      <w:r>
        <w:rPr>
          <w:rFonts w:ascii="Times New Roman" w:hAnsi="Times New Roman"/>
          <w:b/>
          <w:color w:val="1E3A8A"/>
          <w:sz w:val="30"/>
        </w:rPr>
        <w:t>REFERENCES</w:t>
      </w:r>
    </w:p>
    <w:tbl>
      <w:tblPr>
        <w:tblW w:type="auto" w:w="0"/>
        <w:jc w:val="center"/>
        <w:tblLook w:firstColumn="1" w:firstRow="1" w:lastColumn="0" w:lastRow="0" w:noHBand="0" w:noVBand="1" w:val="04A0"/>
      </w:tblPr>
      <w:tblGrid>
        <w:gridCol w:w="4680"/>
        <w:gridCol w:w="4680"/>
      </w:tblGrid>
      <w:tr>
        <w:tc>
          <w:tcPr>
            <w:tcW w:type="dxa" w:w="1152"/>
          </w:tcPr>
          <w:p>
            <w:pPr>
              <w:spacing w:after="80"/>
            </w:pPr>
            <w:r>
              <w:rPr>
                <w:rFonts w:ascii="Times New Roman" w:hAnsi="Times New Roman"/>
                <w:b/>
                <w:color w:val="334155"/>
                <w:sz w:val="21"/>
              </w:rPr>
              <w:t>[1]</w:t>
            </w:r>
          </w:p>
        </w:tc>
        <w:tc>
          <w:tcPr>
            <w:tcW w:type="dxa" w:w="8208"/>
          </w:tcPr>
          <w:p>
            <w:pPr>
              <w:spacing w:after="80"/>
            </w:pPr>
            <w:r>
              <w:rPr>
                <w:rFonts w:ascii="Times New Roman" w:hAnsi="Times New Roman"/>
                <w:color w:val="334155"/>
                <w:sz w:val="21"/>
              </w:rPr>
              <w:t>Google DeepMind, “Gemma: Open Models Based on Gemini Research and Technology,” Google AI Blog &amp; Technical Report, 2024.</w:t>
            </w:r>
          </w:p>
        </w:tc>
      </w:tr>
      <w:tr>
        <w:tc>
          <w:tcPr>
            <w:tcW w:type="dxa" w:w="1152"/>
          </w:tcPr>
          <w:p>
            <w:pPr>
              <w:spacing w:after="80"/>
            </w:pPr>
            <w:r>
              <w:rPr>
                <w:rFonts w:ascii="Times New Roman" w:hAnsi="Times New Roman"/>
                <w:b/>
                <w:color w:val="334155"/>
                <w:sz w:val="21"/>
              </w:rPr>
              <w:t>[2]</w:t>
            </w:r>
          </w:p>
        </w:tc>
        <w:tc>
          <w:tcPr>
            <w:tcW w:type="dxa" w:w="8208"/>
          </w:tcPr>
          <w:p>
            <w:pPr>
              <w:spacing w:after="80"/>
            </w:pPr>
            <w:r>
              <w:rPr>
                <w:rFonts w:ascii="Times New Roman" w:hAnsi="Times New Roman"/>
                <w:color w:val="334155"/>
                <w:sz w:val="21"/>
              </w:rPr>
              <w:t>A. Rubinstein, “Perfect Equilibrium in a Bargaining Model,” Econometrica: Journal of the Econometric Society, vol. 50, no. 1, pp. 97–109, 1982.</w:t>
            </w:r>
          </w:p>
        </w:tc>
      </w:tr>
      <w:tr>
        <w:tc>
          <w:tcPr>
            <w:tcW w:type="dxa" w:w="1152"/>
          </w:tcPr>
          <w:p>
            <w:pPr>
              <w:spacing w:after="80"/>
            </w:pPr>
            <w:r>
              <w:rPr>
                <w:rFonts w:ascii="Times New Roman" w:hAnsi="Times New Roman"/>
                <w:b/>
                <w:color w:val="334155"/>
                <w:sz w:val="21"/>
              </w:rPr>
              <w:t>[3]</w:t>
            </w:r>
          </w:p>
        </w:tc>
        <w:tc>
          <w:tcPr>
            <w:tcW w:type="dxa" w:w="8208"/>
          </w:tcPr>
          <w:p>
            <w:pPr>
              <w:spacing w:after="80"/>
            </w:pPr>
            <w:r>
              <w:rPr>
                <w:rFonts w:ascii="Times New Roman" w:hAnsi="Times New Roman"/>
                <w:color w:val="334155"/>
                <w:sz w:val="21"/>
              </w:rPr>
              <w:t>J. F. Nash, “The Bargaining Problem,” Econometrica: Journal of the Econometric Society, vol. 18, no. 2, pp. 155–162, 1950.</w:t>
            </w:r>
          </w:p>
        </w:tc>
      </w:tr>
      <w:tr>
        <w:tc>
          <w:tcPr>
            <w:tcW w:type="dxa" w:w="1152"/>
          </w:tcPr>
          <w:p>
            <w:pPr>
              <w:spacing w:after="80"/>
            </w:pPr>
            <w:r>
              <w:rPr>
                <w:rFonts w:ascii="Times New Roman" w:hAnsi="Times New Roman"/>
                <w:b/>
                <w:color w:val="334155"/>
                <w:sz w:val="21"/>
              </w:rPr>
              <w:t>[4]</w:t>
            </w:r>
          </w:p>
        </w:tc>
        <w:tc>
          <w:tcPr>
            <w:tcW w:type="dxa" w:w="8208"/>
          </w:tcPr>
          <w:p>
            <w:pPr>
              <w:spacing w:after="80"/>
            </w:pPr>
            <w:r>
              <w:rPr>
                <w:rFonts w:ascii="Times New Roman" w:hAnsi="Times New Roman"/>
                <w:color w:val="334155"/>
                <w:sz w:val="21"/>
              </w:rPr>
              <w:t>T. Baarslag, M. J. Hendrikx, K. V. Hindriks, and C. M. Jonker, “Learning from the Competitor: A Study on Counterpart Modeling in Automated Negotiation,” Autonomous Agents and Multi-Agent Systems, vol. 30, no. 1, pp. 149–177, 2016.</w:t>
            </w:r>
          </w:p>
        </w:tc>
      </w:tr>
      <w:tr>
        <w:tc>
          <w:tcPr>
            <w:tcW w:type="dxa" w:w="1152"/>
          </w:tcPr>
          <w:p>
            <w:pPr>
              <w:spacing w:after="80"/>
            </w:pPr>
            <w:r>
              <w:rPr>
                <w:rFonts w:ascii="Times New Roman" w:hAnsi="Times New Roman"/>
                <w:b/>
                <w:color w:val="334155"/>
                <w:sz w:val="21"/>
              </w:rPr>
              <w:t>[5]</w:t>
            </w:r>
          </w:p>
        </w:tc>
        <w:tc>
          <w:tcPr>
            <w:tcW w:type="dxa" w:w="8208"/>
          </w:tcPr>
          <w:p>
            <w:pPr>
              <w:spacing w:after="80"/>
            </w:pPr>
            <w:r>
              <w:rPr>
                <w:rFonts w:ascii="Times New Roman" w:hAnsi="Times New Roman"/>
                <w:color w:val="334155"/>
                <w:sz w:val="21"/>
              </w:rPr>
              <w:t>Y. Fu, H. Peng, T. Khot, and W. W. Cohen, “Improving Language Model Negotiation with Self-Play and Critique,” in Findings of the Association for Computational Linguistics (ACL), pp. 8942–8958, 2023.</w:t>
            </w:r>
          </w:p>
        </w:tc>
      </w:tr>
      <w:tr>
        <w:tc>
          <w:tcPr>
            <w:tcW w:type="dxa" w:w="1152"/>
          </w:tcPr>
          <w:p>
            <w:pPr>
              <w:spacing w:after="80"/>
            </w:pPr>
            <w:r>
              <w:rPr>
                <w:rFonts w:ascii="Times New Roman" w:hAnsi="Times New Roman"/>
                <w:b/>
                <w:color w:val="334155"/>
                <w:sz w:val="21"/>
              </w:rPr>
              <w:t>[6]</w:t>
            </w:r>
          </w:p>
        </w:tc>
        <w:tc>
          <w:tcPr>
            <w:tcW w:type="dxa" w:w="8208"/>
          </w:tcPr>
          <w:p>
            <w:pPr>
              <w:spacing w:after="80"/>
            </w:pPr>
            <w:r>
              <w:rPr>
                <w:rFonts w:ascii="Times New Roman" w:hAnsi="Times New Roman"/>
                <w:color w:val="334155"/>
                <w:sz w:val="21"/>
              </w:rPr>
              <w:t>S. Kraus, Strategic Negotiation in Multiagent Environments, MIT Press, Cambridge, MA, 2001.</w:t>
            </w:r>
          </w:p>
        </w:tc>
      </w:tr>
      <w:tr>
        <w:tc>
          <w:tcPr>
            <w:tcW w:type="dxa" w:w="1152"/>
          </w:tcPr>
          <w:p>
            <w:pPr>
              <w:spacing w:after="80"/>
            </w:pPr>
            <w:r>
              <w:rPr>
                <w:rFonts w:ascii="Times New Roman" w:hAnsi="Times New Roman"/>
                <w:b/>
                <w:color w:val="334155"/>
                <w:sz w:val="21"/>
              </w:rPr>
              <w:t>[7]</w:t>
            </w:r>
          </w:p>
        </w:tc>
        <w:tc>
          <w:tcPr>
            <w:tcW w:type="dxa" w:w="8208"/>
          </w:tcPr>
          <w:p>
            <w:pPr>
              <w:spacing w:after="80"/>
            </w:pPr>
            <w:r>
              <w:rPr>
                <w:rFonts w:ascii="Times New Roman" w:hAnsi="Times New Roman"/>
                <w:color w:val="334155"/>
                <w:sz w:val="21"/>
              </w:rPr>
              <w:t>C. M. Jonker, V. Robu, and J. Treur, “An Analysis of the Complexity of Multi-Issue Negotiation Games,” Artificial Intelligence Review, vol. 28, no. 1, pp. 49–72, 2007.</w:t>
            </w:r>
          </w:p>
        </w:tc>
      </w:tr>
      <w:tr>
        <w:tc>
          <w:tcPr>
            <w:tcW w:type="dxa" w:w="1152"/>
          </w:tcPr>
          <w:p>
            <w:pPr>
              <w:spacing w:after="80"/>
            </w:pPr>
            <w:r>
              <w:rPr>
                <w:rFonts w:ascii="Times New Roman" w:hAnsi="Times New Roman"/>
                <w:b/>
                <w:color w:val="334155"/>
                <w:sz w:val="21"/>
              </w:rPr>
              <w:t>[8]</w:t>
            </w:r>
          </w:p>
        </w:tc>
        <w:tc>
          <w:tcPr>
            <w:tcW w:type="dxa" w:w="8208"/>
          </w:tcPr>
          <w:p>
            <w:pPr>
              <w:spacing w:after="80"/>
            </w:pPr>
            <w:r>
              <w:rPr>
                <w:rFonts w:ascii="Times New Roman" w:hAnsi="Times New Roman"/>
                <w:color w:val="334155"/>
                <w:sz w:val="21"/>
              </w:rPr>
              <w:t>H. Raiffa, The Art and Science of Negotiation, Harvard University Press, Cambridge, MA, 1982.</w:t>
            </w:r>
          </w:p>
        </w:tc>
      </w:tr>
      <w:tr>
        <w:tc>
          <w:tcPr>
            <w:tcW w:type="dxa" w:w="1152"/>
          </w:tcPr>
          <w:p>
            <w:pPr>
              <w:spacing w:after="80"/>
            </w:pPr>
            <w:r>
              <w:rPr>
                <w:rFonts w:ascii="Times New Roman" w:hAnsi="Times New Roman"/>
                <w:b/>
                <w:color w:val="334155"/>
                <w:sz w:val="21"/>
              </w:rPr>
              <w:t>[9]</w:t>
            </w:r>
          </w:p>
        </w:tc>
        <w:tc>
          <w:tcPr>
            <w:tcW w:type="dxa" w:w="8208"/>
          </w:tcPr>
          <w:p>
            <w:pPr>
              <w:spacing w:after="80"/>
            </w:pPr>
            <w:r>
              <w:rPr>
                <w:rFonts w:ascii="Times New Roman" w:hAnsi="Times New Roman"/>
                <w:color w:val="334155"/>
                <w:sz w:val="21"/>
              </w:rPr>
              <w:t>A. Vaswani et al., “Attention Is All You Need,” Advances in Neural Information Processing Systems (NeurIPS), vol. 30, pp. 5998–6008, 2017.</w:t>
            </w:r>
          </w:p>
        </w:tc>
      </w:tr>
      <w:tr>
        <w:tc>
          <w:tcPr>
            <w:tcW w:type="dxa" w:w="1152"/>
          </w:tcPr>
          <w:p>
            <w:pPr>
              <w:spacing w:after="80"/>
            </w:pPr>
            <w:r>
              <w:rPr>
                <w:rFonts w:ascii="Times New Roman" w:hAnsi="Times New Roman"/>
                <w:b/>
                <w:color w:val="334155"/>
                <w:sz w:val="21"/>
              </w:rPr>
              <w:t>[10]</w:t>
            </w:r>
          </w:p>
        </w:tc>
        <w:tc>
          <w:tcPr>
            <w:tcW w:type="dxa" w:w="8208"/>
          </w:tcPr>
          <w:p>
            <w:pPr>
              <w:spacing w:after="80"/>
            </w:pPr>
            <w:r>
              <w:rPr>
                <w:rFonts w:ascii="Times New Roman" w:hAnsi="Times New Roman"/>
                <w:color w:val="334155"/>
                <w:sz w:val="21"/>
              </w:rPr>
              <w:t>P. Lewis, E. Perez, et al., “Retrieval-Augmented Generation for Knowledge-Intensive NLP Tasks,” in Advances in Neural Information Processing Systems (NeurIPS), vol. 33, pp. 9459–9474, 2020.</w:t>
            </w:r>
          </w:p>
        </w:tc>
      </w:tr>
      <w:tr>
        <w:tc>
          <w:tcPr>
            <w:tcW w:type="dxa" w:w="1152"/>
          </w:tcPr>
          <w:p>
            <w:pPr>
              <w:spacing w:after="80"/>
            </w:pPr>
            <w:r>
              <w:rPr>
                <w:rFonts w:ascii="Times New Roman" w:hAnsi="Times New Roman"/>
                <w:b/>
                <w:color w:val="334155"/>
                <w:sz w:val="21"/>
              </w:rPr>
              <w:t>[11]</w:t>
            </w:r>
          </w:p>
        </w:tc>
        <w:tc>
          <w:tcPr>
            <w:tcW w:type="dxa" w:w="8208"/>
          </w:tcPr>
          <w:p>
            <w:pPr>
              <w:spacing w:after="80"/>
            </w:pPr>
            <w:r>
              <w:rPr>
                <w:rFonts w:ascii="Times New Roman" w:hAnsi="Times New Roman"/>
                <w:color w:val="334155"/>
                <w:sz w:val="21"/>
              </w:rPr>
              <w:t>R. Fisher, W. L. Ury, and B. Patton, Getting to Yes: Negotiating Agreement Without Giving In, Penguin Books, New York, 2011.</w:t>
            </w:r>
          </w:p>
        </w:tc>
      </w:tr>
      <w:tr>
        <w:tc>
          <w:tcPr>
            <w:tcW w:type="dxa" w:w="1152"/>
          </w:tcPr>
          <w:p>
            <w:pPr>
              <w:spacing w:after="80"/>
            </w:pPr>
            <w:r>
              <w:rPr>
                <w:rFonts w:ascii="Times New Roman" w:hAnsi="Times New Roman"/>
                <w:b/>
                <w:color w:val="334155"/>
                <w:sz w:val="21"/>
              </w:rPr>
              <w:t>[12]</w:t>
            </w:r>
          </w:p>
        </w:tc>
        <w:tc>
          <w:tcPr>
            <w:tcW w:type="dxa" w:w="8208"/>
          </w:tcPr>
          <w:p>
            <w:pPr>
              <w:spacing w:after="80"/>
            </w:pPr>
            <w:r>
              <w:rPr>
                <w:rFonts w:ascii="Times New Roman" w:hAnsi="Times New Roman"/>
                <w:color w:val="334155"/>
                <w:sz w:val="21"/>
              </w:rPr>
              <w:t>M. Wooldridge, An Introduction to MultiAgent Systems, 2nd ed., John Wiley &amp; Sons, Chichester, UK, 2009.</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334155"/>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